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7EE5" w:rsidRDefault="008F7EE5" w:rsidP="00732BE1">
      <w:pPr>
        <w:sectPr w:rsidR="008F7EE5" w:rsidSect="008F7EE5">
          <w:headerReference w:type="default" r:id="rId9"/>
          <w:footerReference w:type="default" r:id="rId10"/>
          <w:headerReference w:type="first" r:id="rId11"/>
          <w:footerReference w:type="first" r:id="rId12"/>
          <w:pgSz w:w="11906" w:h="16838" w:code="9"/>
          <w:pgMar w:top="1134" w:right="1418" w:bottom="1701" w:left="1418" w:header="1126" w:footer="851" w:gutter="0"/>
          <w:cols w:space="708"/>
          <w:docGrid w:linePitch="360"/>
        </w:sectPr>
      </w:pPr>
      <w:bookmarkStart w:id="0" w:name="_GoBack"/>
      <w:bookmarkEnd w:id="0"/>
    </w:p>
    <w:p w:rsidR="00027AFD" w:rsidRPr="00583195" w:rsidRDefault="00732BE1" w:rsidP="006F70B3">
      <w:pPr>
        <w:pStyle w:val="Titre"/>
        <w:pBdr>
          <w:bottom w:val="single" w:sz="4" w:space="1" w:color="auto"/>
        </w:pBdr>
      </w:pPr>
      <w:r>
        <w:lastRenderedPageBreak/>
        <w:t xml:space="preserve">ATELIER </w:t>
      </w:r>
      <w:r w:rsidRPr="00732BE1">
        <w:t>"REV</w:t>
      </w:r>
      <w:r>
        <w:t xml:space="preserve">ISION DES ANALYSES DE MARCHE HD ET </w:t>
      </w:r>
      <w:r w:rsidRPr="00732BE1">
        <w:t>THD FIXE"</w:t>
      </w:r>
      <w:r>
        <w:br/>
        <w:t>29 septembre 2016</w:t>
      </w:r>
    </w:p>
    <w:p w:rsidR="00332005" w:rsidRDefault="00332005" w:rsidP="00732BE1"/>
    <w:p w:rsidR="00732BE1" w:rsidRDefault="00A53775" w:rsidP="00A53775">
      <w:pPr>
        <w:pStyle w:val="Titre1"/>
        <w:spacing w:before="0"/>
      </w:pPr>
      <w:r>
        <w:t>Participants</w:t>
      </w:r>
    </w:p>
    <w:tbl>
      <w:tblPr>
        <w:tblStyle w:val="Grilledutableau"/>
        <w:tblW w:w="0" w:type="auto"/>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605"/>
        <w:gridCol w:w="4605"/>
      </w:tblGrid>
      <w:tr w:rsidR="001E259F" w:rsidTr="00A353C7">
        <w:trPr>
          <w:trHeight w:val="503"/>
          <w:jc w:val="center"/>
        </w:trPr>
        <w:tc>
          <w:tcPr>
            <w:tcW w:w="4605" w:type="dxa"/>
            <w:vMerge w:val="restart"/>
            <w:vAlign w:val="center"/>
          </w:tcPr>
          <w:p w:rsidR="001E259F" w:rsidRPr="00A53775" w:rsidRDefault="001E259F" w:rsidP="001E259F">
            <w:pPr>
              <w:pStyle w:val="Titre4"/>
              <w:numPr>
                <w:ilvl w:val="0"/>
                <w:numId w:val="0"/>
              </w:numPr>
              <w:outlineLvl w:val="3"/>
              <w:rPr>
                <w:b/>
              </w:rPr>
            </w:pPr>
            <w:r w:rsidRPr="00A53775">
              <w:rPr>
                <w:b/>
              </w:rPr>
              <w:t>Arcep</w:t>
            </w:r>
          </w:p>
          <w:p w:rsidR="001E259F" w:rsidRDefault="001E259F" w:rsidP="001E259F">
            <w:pPr>
              <w:pStyle w:val="Paragraphedeliste"/>
              <w:numPr>
                <w:ilvl w:val="0"/>
                <w:numId w:val="8"/>
              </w:numPr>
              <w:spacing w:before="0" w:after="0"/>
              <w:jc w:val="left"/>
            </w:pPr>
            <w:r>
              <w:t>Thomas HOARAU</w:t>
            </w:r>
          </w:p>
          <w:p w:rsidR="001E259F" w:rsidRDefault="001E259F" w:rsidP="001E259F">
            <w:pPr>
              <w:pStyle w:val="Paragraphedeliste"/>
              <w:numPr>
                <w:ilvl w:val="0"/>
                <w:numId w:val="8"/>
              </w:numPr>
              <w:spacing w:before="0" w:after="0"/>
              <w:jc w:val="left"/>
            </w:pPr>
            <w:r>
              <w:t>Jeremy BONAN</w:t>
            </w:r>
          </w:p>
          <w:p w:rsidR="001E259F" w:rsidRDefault="001E259F" w:rsidP="001E259F">
            <w:pPr>
              <w:pStyle w:val="Paragraphedeliste"/>
              <w:numPr>
                <w:ilvl w:val="0"/>
                <w:numId w:val="8"/>
              </w:numPr>
              <w:spacing w:before="0" w:after="0"/>
              <w:jc w:val="left"/>
            </w:pPr>
            <w:r>
              <w:t>Marie-Liane LEKPELI</w:t>
            </w:r>
          </w:p>
          <w:p w:rsidR="001E259F" w:rsidRDefault="001E259F" w:rsidP="001E259F">
            <w:pPr>
              <w:pStyle w:val="Paragraphedeliste"/>
              <w:numPr>
                <w:ilvl w:val="0"/>
                <w:numId w:val="8"/>
              </w:numPr>
              <w:spacing w:before="0" w:after="0"/>
              <w:jc w:val="left"/>
            </w:pPr>
            <w:r>
              <w:t>Guillaume GARNIER</w:t>
            </w:r>
          </w:p>
          <w:p w:rsidR="001E259F" w:rsidRDefault="001E259F" w:rsidP="001E259F">
            <w:pPr>
              <w:pStyle w:val="Paragraphedeliste"/>
              <w:numPr>
                <w:ilvl w:val="0"/>
                <w:numId w:val="8"/>
              </w:numPr>
              <w:spacing w:before="0" w:after="0"/>
              <w:jc w:val="left"/>
            </w:pPr>
            <w:r>
              <w:t>Brice BRANDENBURG</w:t>
            </w:r>
          </w:p>
          <w:p w:rsidR="001E259F" w:rsidRDefault="001E259F" w:rsidP="008C1CAE">
            <w:pPr>
              <w:pStyle w:val="Paragraphedeliste"/>
              <w:numPr>
                <w:ilvl w:val="0"/>
                <w:numId w:val="8"/>
              </w:numPr>
              <w:spacing w:before="0" w:after="0"/>
              <w:jc w:val="left"/>
            </w:pPr>
            <w:r>
              <w:t>Anouk ARZUR</w:t>
            </w:r>
          </w:p>
          <w:p w:rsidR="00C42FF2" w:rsidRDefault="00C42FF2" w:rsidP="001E259F">
            <w:pPr>
              <w:pStyle w:val="Paragraphedeliste"/>
              <w:numPr>
                <w:ilvl w:val="0"/>
                <w:numId w:val="8"/>
              </w:numPr>
              <w:spacing w:before="0"/>
              <w:jc w:val="left"/>
            </w:pPr>
            <w:r>
              <w:t>Laurian CHOAIN</w:t>
            </w:r>
          </w:p>
        </w:tc>
        <w:tc>
          <w:tcPr>
            <w:tcW w:w="4605" w:type="dxa"/>
            <w:vAlign w:val="center"/>
          </w:tcPr>
          <w:p w:rsidR="001E259F" w:rsidRDefault="001E259F" w:rsidP="001E259F">
            <w:pPr>
              <w:pStyle w:val="Titre4"/>
              <w:numPr>
                <w:ilvl w:val="0"/>
                <w:numId w:val="0"/>
              </w:numPr>
              <w:outlineLvl w:val="3"/>
            </w:pPr>
            <w:r w:rsidRPr="0085036A">
              <w:rPr>
                <w:b/>
              </w:rPr>
              <w:t>FNCCR</w:t>
            </w:r>
            <w:r>
              <w:t> :</w:t>
            </w:r>
          </w:p>
          <w:p w:rsidR="001E259F" w:rsidRDefault="001E259F" w:rsidP="001E259F">
            <w:pPr>
              <w:pStyle w:val="Paragraphedeliste"/>
              <w:numPr>
                <w:ilvl w:val="0"/>
                <w:numId w:val="8"/>
              </w:numPr>
              <w:spacing w:before="0"/>
              <w:jc w:val="left"/>
            </w:pPr>
            <w:r>
              <w:t>Mireille BON</w:t>
            </w:r>
            <w:r w:rsidR="00284E4F">
              <w:t>N</w:t>
            </w:r>
            <w:r>
              <w:t>IN</w:t>
            </w:r>
          </w:p>
        </w:tc>
      </w:tr>
      <w:tr w:rsidR="001E259F" w:rsidTr="00A353C7">
        <w:trPr>
          <w:trHeight w:val="560"/>
          <w:jc w:val="center"/>
        </w:trPr>
        <w:tc>
          <w:tcPr>
            <w:tcW w:w="4605" w:type="dxa"/>
            <w:vMerge/>
            <w:vAlign w:val="center"/>
          </w:tcPr>
          <w:p w:rsidR="001E259F" w:rsidRPr="00A53775" w:rsidRDefault="001E259F" w:rsidP="001E259F">
            <w:pPr>
              <w:pStyle w:val="Titre4"/>
              <w:numPr>
                <w:ilvl w:val="0"/>
                <w:numId w:val="0"/>
              </w:numPr>
              <w:outlineLvl w:val="3"/>
              <w:rPr>
                <w:b/>
              </w:rPr>
            </w:pPr>
          </w:p>
        </w:tc>
        <w:tc>
          <w:tcPr>
            <w:tcW w:w="4605" w:type="dxa"/>
            <w:vAlign w:val="center"/>
          </w:tcPr>
          <w:p w:rsidR="001E259F" w:rsidRPr="0085036A" w:rsidRDefault="001E259F" w:rsidP="001E259F">
            <w:pPr>
              <w:jc w:val="left"/>
              <w:rPr>
                <w:rFonts w:eastAsiaTheme="majorEastAsia"/>
                <w:b/>
                <w:bCs w:val="0"/>
                <w:iCs/>
                <w:color w:val="E56463" w:themeColor="accent3"/>
              </w:rPr>
            </w:pPr>
            <w:r w:rsidRPr="0085036A">
              <w:rPr>
                <w:rFonts w:eastAsiaTheme="majorEastAsia"/>
                <w:b/>
                <w:bCs w:val="0"/>
                <w:iCs/>
                <w:color w:val="E56463" w:themeColor="accent3"/>
              </w:rPr>
              <w:t xml:space="preserve">Syndicat Mixte Oise </w:t>
            </w:r>
            <w:r w:rsidR="00705B57">
              <w:rPr>
                <w:rFonts w:eastAsiaTheme="majorEastAsia"/>
                <w:b/>
                <w:bCs w:val="0"/>
                <w:iCs/>
                <w:color w:val="E56463" w:themeColor="accent3"/>
              </w:rPr>
              <w:t>THD</w:t>
            </w:r>
          </w:p>
          <w:p w:rsidR="001E259F" w:rsidRPr="0085036A" w:rsidRDefault="001E259F" w:rsidP="008C1CAE">
            <w:pPr>
              <w:pStyle w:val="Paragraphedeliste"/>
              <w:numPr>
                <w:ilvl w:val="0"/>
                <w:numId w:val="8"/>
              </w:numPr>
              <w:spacing w:before="0" w:after="0"/>
              <w:jc w:val="left"/>
              <w:rPr>
                <w:b/>
              </w:rPr>
            </w:pPr>
            <w:r>
              <w:t>Henri SABATIÉ-GARAT</w:t>
            </w:r>
          </w:p>
        </w:tc>
      </w:tr>
      <w:tr w:rsidR="001E259F" w:rsidRPr="001E259F" w:rsidTr="00A353C7">
        <w:trPr>
          <w:trHeight w:val="364"/>
          <w:jc w:val="center"/>
        </w:trPr>
        <w:tc>
          <w:tcPr>
            <w:tcW w:w="4605" w:type="dxa"/>
            <w:vMerge/>
            <w:vAlign w:val="center"/>
          </w:tcPr>
          <w:p w:rsidR="001E259F" w:rsidRPr="001E259F" w:rsidRDefault="001E259F" w:rsidP="001E259F">
            <w:pPr>
              <w:pStyle w:val="Titre4"/>
              <w:numPr>
                <w:ilvl w:val="0"/>
                <w:numId w:val="0"/>
              </w:numPr>
              <w:outlineLvl w:val="3"/>
              <w:rPr>
                <w:rFonts w:eastAsiaTheme="minorHAnsi"/>
                <w:bCs/>
                <w:iCs w:val="0"/>
                <w:color w:val="232253" w:themeColor="text2"/>
                <w:lang w:val="en-US"/>
              </w:rPr>
            </w:pPr>
          </w:p>
        </w:tc>
        <w:tc>
          <w:tcPr>
            <w:tcW w:w="4605" w:type="dxa"/>
            <w:vAlign w:val="center"/>
          </w:tcPr>
          <w:p w:rsidR="001E259F" w:rsidRPr="0085036A" w:rsidRDefault="001E259F" w:rsidP="001E259F">
            <w:pPr>
              <w:jc w:val="left"/>
              <w:rPr>
                <w:rFonts w:eastAsiaTheme="majorEastAsia"/>
                <w:b/>
                <w:bCs w:val="0"/>
                <w:iCs/>
                <w:color w:val="E56463" w:themeColor="accent3"/>
              </w:rPr>
            </w:pPr>
            <w:r w:rsidRPr="0085036A">
              <w:rPr>
                <w:rFonts w:eastAsiaTheme="majorEastAsia"/>
                <w:b/>
                <w:bCs w:val="0"/>
                <w:iCs/>
                <w:color w:val="E56463" w:themeColor="accent3"/>
              </w:rPr>
              <w:t>Orange</w:t>
            </w:r>
          </w:p>
          <w:p w:rsidR="001E259F" w:rsidRPr="001E259F" w:rsidRDefault="001E259F" w:rsidP="008C1CAE">
            <w:pPr>
              <w:pStyle w:val="Paragraphedeliste"/>
              <w:numPr>
                <w:ilvl w:val="0"/>
                <w:numId w:val="8"/>
              </w:numPr>
              <w:spacing w:before="0" w:after="0"/>
              <w:jc w:val="left"/>
            </w:pPr>
            <w:r>
              <w:t>Patrick ZACHARKO</w:t>
            </w:r>
          </w:p>
        </w:tc>
      </w:tr>
      <w:tr w:rsidR="00A53775" w:rsidTr="00A353C7">
        <w:trPr>
          <w:jc w:val="center"/>
        </w:trPr>
        <w:tc>
          <w:tcPr>
            <w:tcW w:w="4605" w:type="dxa"/>
            <w:vAlign w:val="center"/>
          </w:tcPr>
          <w:p w:rsidR="00A53775" w:rsidRPr="0085036A" w:rsidRDefault="00BA5519" w:rsidP="001E259F">
            <w:pPr>
              <w:jc w:val="left"/>
              <w:rPr>
                <w:rFonts w:eastAsiaTheme="majorEastAsia"/>
                <w:b/>
                <w:bCs w:val="0"/>
                <w:iCs/>
                <w:color w:val="E56463" w:themeColor="accent3"/>
              </w:rPr>
            </w:pPr>
            <w:r>
              <w:rPr>
                <w:rFonts w:eastAsiaTheme="majorEastAsia"/>
                <w:b/>
                <w:bCs w:val="0"/>
                <w:iCs/>
                <w:color w:val="E56463" w:themeColor="accent3"/>
              </w:rPr>
              <w:t xml:space="preserve">Syndicat mixte </w:t>
            </w:r>
            <w:r w:rsidR="008B3841" w:rsidRPr="0085036A">
              <w:rPr>
                <w:rFonts w:eastAsiaTheme="majorEastAsia"/>
                <w:b/>
                <w:bCs w:val="0"/>
                <w:iCs/>
                <w:color w:val="E56463" w:themeColor="accent3"/>
              </w:rPr>
              <w:t>Seine-et-Marne numérique</w:t>
            </w:r>
          </w:p>
          <w:p w:rsidR="008B3841" w:rsidRDefault="008B3841" w:rsidP="001E259F">
            <w:pPr>
              <w:pStyle w:val="Paragraphedeliste"/>
              <w:numPr>
                <w:ilvl w:val="0"/>
                <w:numId w:val="8"/>
              </w:numPr>
              <w:spacing w:before="0"/>
              <w:jc w:val="left"/>
            </w:pPr>
            <w:r>
              <w:t>Dominique LEROY</w:t>
            </w:r>
          </w:p>
        </w:tc>
        <w:tc>
          <w:tcPr>
            <w:tcW w:w="4605" w:type="dxa"/>
            <w:vAlign w:val="center"/>
          </w:tcPr>
          <w:p w:rsidR="001E259F" w:rsidRPr="001E259F" w:rsidRDefault="001E259F" w:rsidP="001E259F">
            <w:pPr>
              <w:jc w:val="left"/>
              <w:rPr>
                <w:rFonts w:eastAsiaTheme="majorEastAsia"/>
                <w:b/>
                <w:bCs w:val="0"/>
                <w:iCs/>
                <w:color w:val="E56463" w:themeColor="accent3"/>
              </w:rPr>
            </w:pPr>
            <w:r w:rsidRPr="001E259F">
              <w:rPr>
                <w:rFonts w:eastAsiaTheme="majorEastAsia"/>
                <w:b/>
                <w:bCs w:val="0"/>
                <w:iCs/>
                <w:color w:val="E56463" w:themeColor="accent3"/>
              </w:rPr>
              <w:t>Agence du numérique</w:t>
            </w:r>
          </w:p>
          <w:p w:rsidR="001E259F" w:rsidRDefault="001E259F" w:rsidP="001E259F">
            <w:pPr>
              <w:pStyle w:val="Paragraphedeliste"/>
              <w:numPr>
                <w:ilvl w:val="0"/>
                <w:numId w:val="8"/>
              </w:numPr>
              <w:spacing w:before="0" w:after="0"/>
              <w:jc w:val="left"/>
            </w:pPr>
            <w:r>
              <w:t>Pierre OISEL</w:t>
            </w:r>
          </w:p>
          <w:p w:rsidR="008B3841" w:rsidRPr="008B3841" w:rsidRDefault="001E259F" w:rsidP="008C1CAE">
            <w:pPr>
              <w:pStyle w:val="Paragraphedeliste"/>
              <w:numPr>
                <w:ilvl w:val="0"/>
                <w:numId w:val="8"/>
              </w:numPr>
              <w:spacing w:before="0"/>
              <w:jc w:val="left"/>
            </w:pPr>
            <w:r>
              <w:t>Arthur BOIRON</w:t>
            </w:r>
          </w:p>
        </w:tc>
      </w:tr>
      <w:tr w:rsidR="008B3841" w:rsidTr="00A353C7">
        <w:trPr>
          <w:jc w:val="center"/>
        </w:trPr>
        <w:tc>
          <w:tcPr>
            <w:tcW w:w="4605" w:type="dxa"/>
            <w:vAlign w:val="center"/>
          </w:tcPr>
          <w:p w:rsidR="008B3841" w:rsidRPr="0085036A" w:rsidRDefault="00BA5519" w:rsidP="001E259F">
            <w:pPr>
              <w:jc w:val="left"/>
              <w:rPr>
                <w:rFonts w:eastAsiaTheme="majorEastAsia"/>
                <w:b/>
                <w:bCs w:val="0"/>
                <w:iCs/>
                <w:color w:val="E56463" w:themeColor="accent3"/>
              </w:rPr>
            </w:pPr>
            <w:r>
              <w:rPr>
                <w:rFonts w:eastAsiaTheme="majorEastAsia"/>
                <w:b/>
                <w:bCs w:val="0"/>
                <w:iCs/>
                <w:color w:val="E56463" w:themeColor="accent3"/>
              </w:rPr>
              <w:t xml:space="preserve">Syndicat mixte </w:t>
            </w:r>
            <w:r w:rsidR="0085036A" w:rsidRPr="0085036A">
              <w:rPr>
                <w:rFonts w:eastAsiaTheme="majorEastAsia"/>
                <w:b/>
                <w:bCs w:val="0"/>
                <w:iCs/>
                <w:color w:val="E56463" w:themeColor="accent3"/>
              </w:rPr>
              <w:t>Somme numérique</w:t>
            </w:r>
          </w:p>
          <w:p w:rsidR="0085036A" w:rsidRDefault="0085036A" w:rsidP="001E259F">
            <w:pPr>
              <w:pStyle w:val="Paragraphedeliste"/>
              <w:numPr>
                <w:ilvl w:val="0"/>
                <w:numId w:val="8"/>
              </w:numPr>
              <w:spacing w:before="0"/>
              <w:jc w:val="left"/>
            </w:pPr>
            <w:r>
              <w:t>Yves BRIANÇON</w:t>
            </w:r>
          </w:p>
        </w:tc>
        <w:tc>
          <w:tcPr>
            <w:tcW w:w="4605" w:type="dxa"/>
            <w:vAlign w:val="center"/>
          </w:tcPr>
          <w:p w:rsidR="001E259F" w:rsidRPr="0085036A" w:rsidRDefault="001E259F" w:rsidP="001E259F">
            <w:pPr>
              <w:jc w:val="left"/>
              <w:rPr>
                <w:rFonts w:eastAsiaTheme="majorEastAsia"/>
                <w:b/>
                <w:bCs w:val="0"/>
                <w:iCs/>
                <w:color w:val="E56463" w:themeColor="accent3"/>
              </w:rPr>
            </w:pPr>
            <w:r w:rsidRPr="0085036A">
              <w:rPr>
                <w:rFonts w:eastAsiaTheme="majorEastAsia"/>
                <w:b/>
                <w:bCs w:val="0"/>
                <w:iCs/>
                <w:color w:val="E56463" w:themeColor="accent3"/>
              </w:rPr>
              <w:t>Syndicat mixte Mayenne THD</w:t>
            </w:r>
          </w:p>
          <w:p w:rsidR="0085036A" w:rsidRDefault="001E259F" w:rsidP="001E259F">
            <w:pPr>
              <w:pStyle w:val="Paragraphedeliste"/>
              <w:numPr>
                <w:ilvl w:val="0"/>
                <w:numId w:val="8"/>
              </w:numPr>
              <w:spacing w:before="0"/>
              <w:jc w:val="left"/>
            </w:pPr>
            <w:r>
              <w:t>Pierre TOUZEAU</w:t>
            </w:r>
          </w:p>
        </w:tc>
      </w:tr>
      <w:tr w:rsidR="008B3841" w:rsidTr="00A353C7">
        <w:trPr>
          <w:jc w:val="center"/>
        </w:trPr>
        <w:tc>
          <w:tcPr>
            <w:tcW w:w="4605" w:type="dxa"/>
            <w:vAlign w:val="center"/>
          </w:tcPr>
          <w:p w:rsidR="008B3841" w:rsidRPr="0085036A" w:rsidRDefault="0085036A" w:rsidP="001E259F">
            <w:pPr>
              <w:jc w:val="left"/>
              <w:rPr>
                <w:rFonts w:eastAsiaTheme="majorEastAsia"/>
                <w:b/>
                <w:bCs w:val="0"/>
                <w:iCs/>
                <w:color w:val="E56463" w:themeColor="accent3"/>
              </w:rPr>
            </w:pPr>
            <w:r w:rsidRPr="0085036A">
              <w:rPr>
                <w:rFonts w:eastAsiaTheme="majorEastAsia"/>
                <w:b/>
                <w:bCs w:val="0"/>
                <w:iCs/>
                <w:color w:val="E56463" w:themeColor="accent3"/>
              </w:rPr>
              <w:t xml:space="preserve">Altitude </w:t>
            </w:r>
            <w:r w:rsidR="00D03A0F">
              <w:rPr>
                <w:rFonts w:eastAsiaTheme="majorEastAsia"/>
                <w:b/>
                <w:bCs w:val="0"/>
                <w:iCs/>
                <w:color w:val="E56463" w:themeColor="accent3"/>
              </w:rPr>
              <w:t>Infrastructure</w:t>
            </w:r>
          </w:p>
          <w:p w:rsidR="0085036A" w:rsidRDefault="0085036A" w:rsidP="001E259F">
            <w:pPr>
              <w:pStyle w:val="Paragraphedeliste"/>
              <w:numPr>
                <w:ilvl w:val="0"/>
                <w:numId w:val="8"/>
              </w:numPr>
              <w:spacing w:before="0"/>
              <w:jc w:val="left"/>
            </w:pPr>
            <w:r>
              <w:t>Simon LANCELEVÉE</w:t>
            </w:r>
          </w:p>
        </w:tc>
        <w:tc>
          <w:tcPr>
            <w:tcW w:w="4605" w:type="dxa"/>
            <w:vAlign w:val="center"/>
          </w:tcPr>
          <w:p w:rsidR="001E259F" w:rsidRPr="0085036A" w:rsidRDefault="001E259F" w:rsidP="001E259F">
            <w:pPr>
              <w:jc w:val="left"/>
              <w:rPr>
                <w:rFonts w:eastAsiaTheme="majorEastAsia"/>
                <w:b/>
                <w:bCs w:val="0"/>
                <w:iCs/>
                <w:color w:val="E56463" w:themeColor="accent3"/>
              </w:rPr>
            </w:pPr>
            <w:r w:rsidRPr="0085036A">
              <w:rPr>
                <w:rFonts w:eastAsiaTheme="majorEastAsia"/>
                <w:b/>
                <w:bCs w:val="0"/>
                <w:iCs/>
                <w:color w:val="E56463" w:themeColor="accent3"/>
              </w:rPr>
              <w:t>AVICCA</w:t>
            </w:r>
          </w:p>
          <w:p w:rsidR="0085036A" w:rsidRDefault="001E259F" w:rsidP="001E259F">
            <w:pPr>
              <w:pStyle w:val="Paragraphedeliste"/>
              <w:numPr>
                <w:ilvl w:val="0"/>
                <w:numId w:val="8"/>
              </w:numPr>
              <w:spacing w:before="0"/>
              <w:jc w:val="left"/>
            </w:pPr>
            <w:r>
              <w:t>Thierry JOUAN</w:t>
            </w:r>
          </w:p>
        </w:tc>
      </w:tr>
      <w:tr w:rsidR="001E259F" w:rsidTr="00A353C7">
        <w:trPr>
          <w:jc w:val="center"/>
        </w:trPr>
        <w:tc>
          <w:tcPr>
            <w:tcW w:w="4605" w:type="dxa"/>
            <w:vAlign w:val="center"/>
          </w:tcPr>
          <w:p w:rsidR="001E259F" w:rsidRPr="0085036A" w:rsidRDefault="001E259F" w:rsidP="001E259F">
            <w:pPr>
              <w:jc w:val="left"/>
              <w:rPr>
                <w:rFonts w:eastAsiaTheme="majorEastAsia"/>
                <w:b/>
                <w:bCs w:val="0"/>
                <w:iCs/>
                <w:color w:val="E56463" w:themeColor="accent3"/>
              </w:rPr>
            </w:pPr>
            <w:r w:rsidRPr="0085036A">
              <w:rPr>
                <w:rFonts w:eastAsiaTheme="majorEastAsia"/>
                <w:b/>
                <w:bCs w:val="0"/>
                <w:iCs/>
                <w:color w:val="E56463" w:themeColor="accent3"/>
              </w:rPr>
              <w:t>Conseil départemental de Saône-et-Loire</w:t>
            </w:r>
          </w:p>
          <w:p w:rsidR="001E259F" w:rsidRDefault="001E259F" w:rsidP="001E259F">
            <w:pPr>
              <w:pStyle w:val="Paragraphedeliste"/>
              <w:numPr>
                <w:ilvl w:val="0"/>
                <w:numId w:val="8"/>
              </w:numPr>
              <w:spacing w:before="0"/>
              <w:jc w:val="left"/>
            </w:pPr>
            <w:r>
              <w:t>Jean-Michel MARTIN</w:t>
            </w:r>
          </w:p>
        </w:tc>
        <w:tc>
          <w:tcPr>
            <w:tcW w:w="4605" w:type="dxa"/>
            <w:vAlign w:val="center"/>
          </w:tcPr>
          <w:p w:rsidR="001E259F" w:rsidRPr="0085036A" w:rsidRDefault="001E259F" w:rsidP="001E259F">
            <w:pPr>
              <w:jc w:val="left"/>
              <w:rPr>
                <w:rFonts w:eastAsiaTheme="majorEastAsia"/>
                <w:b/>
                <w:bCs w:val="0"/>
                <w:iCs/>
                <w:color w:val="E56463" w:themeColor="accent3"/>
              </w:rPr>
            </w:pPr>
            <w:r w:rsidRPr="0085036A">
              <w:rPr>
                <w:rFonts w:eastAsiaTheme="majorEastAsia"/>
                <w:b/>
                <w:bCs w:val="0"/>
                <w:iCs/>
                <w:color w:val="E56463" w:themeColor="accent3"/>
              </w:rPr>
              <w:t>CEREMA Ouest</w:t>
            </w:r>
          </w:p>
          <w:p w:rsidR="001E259F" w:rsidRDefault="001E259F" w:rsidP="001E259F">
            <w:pPr>
              <w:pStyle w:val="Paragraphedeliste"/>
              <w:numPr>
                <w:ilvl w:val="0"/>
                <w:numId w:val="8"/>
              </w:numPr>
              <w:spacing w:before="0"/>
              <w:jc w:val="left"/>
            </w:pPr>
            <w:r>
              <w:t>Serge PUJOL</w:t>
            </w:r>
          </w:p>
        </w:tc>
      </w:tr>
      <w:tr w:rsidR="001E259F" w:rsidTr="00A353C7">
        <w:trPr>
          <w:jc w:val="center"/>
        </w:trPr>
        <w:tc>
          <w:tcPr>
            <w:tcW w:w="4605" w:type="dxa"/>
            <w:vAlign w:val="center"/>
          </w:tcPr>
          <w:p w:rsidR="001E259F" w:rsidRPr="0085036A" w:rsidRDefault="001E259F" w:rsidP="001E259F">
            <w:pPr>
              <w:jc w:val="left"/>
              <w:rPr>
                <w:rFonts w:eastAsiaTheme="majorEastAsia"/>
                <w:b/>
                <w:bCs w:val="0"/>
                <w:iCs/>
                <w:color w:val="E56463" w:themeColor="accent3"/>
              </w:rPr>
            </w:pPr>
            <w:r w:rsidRPr="0085036A">
              <w:rPr>
                <w:rFonts w:eastAsiaTheme="majorEastAsia"/>
                <w:b/>
                <w:bCs w:val="0"/>
                <w:iCs/>
                <w:color w:val="E56463" w:themeColor="accent3"/>
              </w:rPr>
              <w:t>Syndicat mixte Doubs THD</w:t>
            </w:r>
          </w:p>
          <w:p w:rsidR="001E259F" w:rsidRDefault="001E259F" w:rsidP="001E259F">
            <w:pPr>
              <w:pStyle w:val="Paragraphedeliste"/>
              <w:numPr>
                <w:ilvl w:val="0"/>
                <w:numId w:val="8"/>
              </w:numPr>
              <w:spacing w:before="0"/>
              <w:jc w:val="left"/>
            </w:pPr>
            <w:r>
              <w:t>Jean-Louis CHAUVIN</w:t>
            </w:r>
          </w:p>
        </w:tc>
        <w:tc>
          <w:tcPr>
            <w:tcW w:w="4605" w:type="dxa"/>
            <w:vAlign w:val="center"/>
          </w:tcPr>
          <w:p w:rsidR="001E259F" w:rsidRPr="0085036A" w:rsidRDefault="001E259F" w:rsidP="001E259F">
            <w:pPr>
              <w:jc w:val="left"/>
              <w:rPr>
                <w:rFonts w:eastAsiaTheme="majorEastAsia"/>
                <w:b/>
                <w:bCs w:val="0"/>
                <w:iCs/>
                <w:color w:val="E56463" w:themeColor="accent3"/>
              </w:rPr>
            </w:pPr>
            <w:r w:rsidRPr="0085036A">
              <w:rPr>
                <w:rFonts w:eastAsiaTheme="majorEastAsia"/>
                <w:b/>
                <w:bCs w:val="0"/>
                <w:iCs/>
                <w:color w:val="E56463" w:themeColor="accent3"/>
              </w:rPr>
              <w:t>Mégalis Bretagne</w:t>
            </w:r>
          </w:p>
          <w:p w:rsidR="001E259F" w:rsidRDefault="001E259F" w:rsidP="001E259F">
            <w:pPr>
              <w:pStyle w:val="Paragraphedeliste"/>
              <w:numPr>
                <w:ilvl w:val="0"/>
                <w:numId w:val="8"/>
              </w:numPr>
              <w:spacing w:before="0"/>
              <w:jc w:val="left"/>
            </w:pPr>
            <w:r>
              <w:t>Yann UGUEN</w:t>
            </w:r>
          </w:p>
        </w:tc>
      </w:tr>
      <w:tr w:rsidR="001E259F" w:rsidTr="00A353C7">
        <w:trPr>
          <w:jc w:val="center"/>
        </w:trPr>
        <w:tc>
          <w:tcPr>
            <w:tcW w:w="4605" w:type="dxa"/>
            <w:vAlign w:val="center"/>
          </w:tcPr>
          <w:p w:rsidR="001E259F" w:rsidRPr="0085036A" w:rsidRDefault="001E259F" w:rsidP="001E259F">
            <w:pPr>
              <w:jc w:val="left"/>
              <w:rPr>
                <w:rFonts w:eastAsiaTheme="majorEastAsia"/>
                <w:b/>
                <w:bCs w:val="0"/>
                <w:iCs/>
                <w:color w:val="E56463" w:themeColor="accent3"/>
              </w:rPr>
            </w:pPr>
            <w:r w:rsidRPr="0085036A">
              <w:rPr>
                <w:rFonts w:eastAsiaTheme="majorEastAsia"/>
                <w:b/>
                <w:bCs w:val="0"/>
                <w:iCs/>
                <w:color w:val="E56463" w:themeColor="accent3"/>
              </w:rPr>
              <w:t>Conseil départemental de Loire-Atlantique</w:t>
            </w:r>
          </w:p>
          <w:p w:rsidR="001E259F" w:rsidRDefault="001E259F" w:rsidP="001E259F">
            <w:pPr>
              <w:pStyle w:val="Paragraphedeliste"/>
              <w:numPr>
                <w:ilvl w:val="0"/>
                <w:numId w:val="8"/>
              </w:numPr>
              <w:spacing w:before="0"/>
              <w:jc w:val="left"/>
            </w:pPr>
            <w:r>
              <w:t>Nathalie MAISONNEUVE</w:t>
            </w:r>
          </w:p>
        </w:tc>
        <w:tc>
          <w:tcPr>
            <w:tcW w:w="4605" w:type="dxa"/>
            <w:vAlign w:val="center"/>
          </w:tcPr>
          <w:p w:rsidR="001E259F" w:rsidRDefault="001E259F" w:rsidP="001E259F">
            <w:pPr>
              <w:jc w:val="left"/>
            </w:pPr>
          </w:p>
        </w:tc>
      </w:tr>
    </w:tbl>
    <w:p w:rsidR="003A675F" w:rsidRDefault="006F70B3" w:rsidP="003A675F">
      <w:pPr>
        <w:pStyle w:val="Titre1"/>
      </w:pPr>
      <w:r>
        <w:t>Compte-rendu</w:t>
      </w:r>
    </w:p>
    <w:p w:rsidR="003A675F" w:rsidRDefault="003A675F" w:rsidP="003A675F">
      <w:pPr>
        <w:pStyle w:val="Titre2"/>
      </w:pPr>
      <w:r>
        <w:t>Tour de table</w:t>
      </w:r>
    </w:p>
    <w:p w:rsidR="003A675F" w:rsidRDefault="003A675F" w:rsidP="003A675F">
      <w:r w:rsidRPr="00597660">
        <w:rPr>
          <w:b/>
        </w:rPr>
        <w:t>Seine-et-Marne numérique</w:t>
      </w:r>
      <w:r w:rsidR="002E6BDF">
        <w:t xml:space="preserve"> </w:t>
      </w:r>
      <w:r>
        <w:t>indique disposer d’un RIP 1G adressant les entreprises, et qu’il existe donc pour eux un sujet sur le FttE, notamment la transposition de l’offre FttE existante sur de la BLOD, prolongée sur le réseau BLOM ainsi que l’extension de la zone de chalandise du RIP 1G au travers du RIP 2G.</w:t>
      </w:r>
    </w:p>
    <w:p w:rsidR="003A675F" w:rsidRDefault="003A675F" w:rsidP="003A675F">
      <w:r>
        <w:t>Parmi les autres sujets, le syndicat mixte indique son ambition en matière de BLR de moderniser en TD-LTE, 50</w:t>
      </w:r>
      <w:r w:rsidR="002E6BDF">
        <w:t> </w:t>
      </w:r>
      <w:r>
        <w:t xml:space="preserve">% des </w:t>
      </w:r>
      <w:r w:rsidR="0062108F">
        <w:t xml:space="preserve">stations de </w:t>
      </w:r>
      <w:r>
        <w:t>bases du réseau WiMAX.</w:t>
      </w:r>
    </w:p>
    <w:p w:rsidR="003A675F" w:rsidRDefault="003A675F" w:rsidP="003A675F">
      <w:r>
        <w:t>Le projet prévoit également 77 PRM, aujourd’hui, les deux tiers sont réalisés</w:t>
      </w:r>
      <w:r w:rsidR="00597660">
        <w:t>.</w:t>
      </w:r>
    </w:p>
    <w:p w:rsidR="00597660" w:rsidRDefault="00597660" w:rsidP="003A675F">
      <w:r>
        <w:t>Le RIP 2G a été notifié début 2015, il est en cours de déploiement, les premières prises sont en commercialisation.</w:t>
      </w:r>
    </w:p>
    <w:p w:rsidR="00597660" w:rsidRDefault="00597660" w:rsidP="003A675F"/>
    <w:p w:rsidR="00BA5519" w:rsidRDefault="00705B57" w:rsidP="003A675F">
      <w:r w:rsidRPr="00A353C7">
        <w:rPr>
          <w:b/>
        </w:rPr>
        <w:t>Oise THD</w:t>
      </w:r>
      <w:r>
        <w:t xml:space="preserve"> indique avoir les mêmes préoccupations que Seine-et-Marne numérique concernant les bonnes synergies entre le RIP 1G et le RIP 2G.</w:t>
      </w:r>
    </w:p>
    <w:p w:rsidR="00705B57" w:rsidRDefault="00705B57" w:rsidP="003A675F">
      <w:r>
        <w:t xml:space="preserve">Pour l’actualité concernant le FttH, le réseau dispose à mi-septembre de 10 000 clients actifs </w:t>
      </w:r>
      <w:r w:rsidR="00A353C7">
        <w:t>sur les 45 000 prises effectivement commercialisable</w:t>
      </w:r>
      <w:r w:rsidR="00284E4F">
        <w:t>s</w:t>
      </w:r>
      <w:r w:rsidR="00A353C7">
        <w:t>.</w:t>
      </w:r>
    </w:p>
    <w:p w:rsidR="00A353C7" w:rsidRDefault="00A353C7" w:rsidP="003A675F"/>
    <w:p w:rsidR="00A353C7" w:rsidRDefault="00A353C7" w:rsidP="003A675F">
      <w:r w:rsidRPr="00A353C7">
        <w:rPr>
          <w:b/>
        </w:rPr>
        <w:t>Somme numérique</w:t>
      </w:r>
      <w:r>
        <w:t xml:space="preserve"> affirme être dans le même cas que la Seine-et-Marne et l’Oise en étant pour le moment moins avancé concernant le FttH. Quant au programme de montée en débit</w:t>
      </w:r>
      <w:r w:rsidR="0062108F">
        <w:t>,</w:t>
      </w:r>
      <w:r>
        <w:t xml:space="preserve"> celui-ci sera définitivement terminé en 2017.</w:t>
      </w:r>
    </w:p>
    <w:p w:rsidR="00A353C7" w:rsidRDefault="00A353C7" w:rsidP="003A675F"/>
    <w:p w:rsidR="00A353C7" w:rsidRDefault="00A353C7" w:rsidP="003A675F">
      <w:r w:rsidRPr="00D3132B">
        <w:rPr>
          <w:b/>
        </w:rPr>
        <w:t>Altitude infrastructure</w:t>
      </w:r>
      <w:r>
        <w:t xml:space="preserve"> indique que leurs principales préoccupations concernent le suivi des déploiements de leurs différents contrats. Aujourd’hui, Altitude exploite un volume d’environ 100 000 prises</w:t>
      </w:r>
      <w:r w:rsidR="00D3132B">
        <w:t xml:space="preserve"> qui, entre celles qui seront construites et celles qui leur seront remises en exploitation, fera évoluer ce volume à près d’un million de prises. L’opérateur souhaite donc avoir de la visibilité </w:t>
      </w:r>
      <w:r w:rsidR="00C94B7E">
        <w:t>et pouvoir antic</w:t>
      </w:r>
      <w:r w:rsidR="00B11BFD">
        <w:t>i</w:t>
      </w:r>
      <w:r w:rsidR="00C94B7E">
        <w:t>per</w:t>
      </w:r>
      <w:r w:rsidR="00D3132B">
        <w:t xml:space="preserve"> sur ce qui pourrait impacter ces prises.</w:t>
      </w:r>
    </w:p>
    <w:p w:rsidR="00D3132B" w:rsidRDefault="00D3132B" w:rsidP="003A675F">
      <w:r>
        <w:t xml:space="preserve">Parmi les autres préoccupations d’Altitude : le sujet de l’accueil des professionnels sur le réseau de BLOM et donc notamment le sujet FttE, mais aussi la question de la mobilisation de LFO et de l’hébergement au NRA des NRO et enfin, la volonté d’avoir de la visibilité sur les évolutions </w:t>
      </w:r>
      <w:r w:rsidR="0062108F">
        <w:t xml:space="preserve">des tarifs </w:t>
      </w:r>
      <w:r>
        <w:t xml:space="preserve">d’accès au génie civil qui ont </w:t>
      </w:r>
      <w:r w:rsidR="0062108F">
        <w:t>un impact sur les</w:t>
      </w:r>
      <w:r>
        <w:t xml:space="preserve"> business plan</w:t>
      </w:r>
      <w:r w:rsidR="0062108F">
        <w:t>s</w:t>
      </w:r>
      <w:r>
        <w:t>.</w:t>
      </w:r>
    </w:p>
    <w:p w:rsidR="003A675F" w:rsidRDefault="003A675F" w:rsidP="003A675F"/>
    <w:p w:rsidR="00B56059" w:rsidRDefault="00B56059" w:rsidP="003A675F">
      <w:r w:rsidRPr="00C94B7E">
        <w:t>Le</w:t>
      </w:r>
      <w:r w:rsidRPr="00B56059">
        <w:rPr>
          <w:b/>
        </w:rPr>
        <w:t xml:space="preserve"> conseil départemental de Saône-et-Loire</w:t>
      </w:r>
      <w:r>
        <w:t xml:space="preserve"> achève ses opérations de montée en débit, 43 sur 45 sont actuellement mises en service, malgré quelques difficultés, le bilan est globalement positif.</w:t>
      </w:r>
    </w:p>
    <w:p w:rsidR="00B56059" w:rsidRDefault="00B56059" w:rsidP="003A675F">
      <w:r>
        <w:t>Concernant le FttH, le maitre d’œuvre a été recruté en j</w:t>
      </w:r>
      <w:r w:rsidR="00C94B7E">
        <w:t>uillet, les études ont commencé</w:t>
      </w:r>
      <w:r>
        <w:t>, le lancement des marchés de travaux est envisagé pour la fin du premier trimestre 2017 et les premiers déploiements sont prévus pour fin 2017.</w:t>
      </w:r>
    </w:p>
    <w:p w:rsidR="00B56059" w:rsidRDefault="00B56059" w:rsidP="003A675F">
      <w:r>
        <w:t>Parmi les préoccupations du département figure notamment la question de l’hébergement des NRO dans les NRA.</w:t>
      </w:r>
    </w:p>
    <w:p w:rsidR="00B56059" w:rsidRDefault="00B56059" w:rsidP="003A675F"/>
    <w:p w:rsidR="00B56059" w:rsidRDefault="00B56059" w:rsidP="003A675F">
      <w:r w:rsidRPr="00557F23">
        <w:rPr>
          <w:b/>
        </w:rPr>
        <w:t>Mayenne THD</w:t>
      </w:r>
      <w:r>
        <w:t xml:space="preserve"> est un syndicat mixte constitué depuis mars 2016. Le projet de la Mayenne vise une couverture du territoire 100</w:t>
      </w:r>
      <w:r w:rsidR="002E6BDF">
        <w:t> </w:t>
      </w:r>
      <w:r>
        <w:t xml:space="preserve">% FttH. </w:t>
      </w:r>
      <w:r w:rsidR="00557F23">
        <w:t>L</w:t>
      </w:r>
      <w:r>
        <w:t xml:space="preserve">a DSP vient d’être lancée et le DCE </w:t>
      </w:r>
      <w:r w:rsidR="008C1CAE">
        <w:t xml:space="preserve">(dossier de consultation des entreprises) </w:t>
      </w:r>
      <w:r>
        <w:t>a été mis en ligne le 28 septembre pour les nombreux candidats ayant répondu.</w:t>
      </w:r>
    </w:p>
    <w:p w:rsidR="00B56059" w:rsidRDefault="00B56059" w:rsidP="003A675F">
      <w:r>
        <w:t>Mayenne THD indique qu’il a été demandé aux candidats de répondre obligatoirement sur deux offres : une offre 100</w:t>
      </w:r>
      <w:r w:rsidR="002E6BDF">
        <w:t> </w:t>
      </w:r>
      <w:r>
        <w:t xml:space="preserve">% concessive et </w:t>
      </w:r>
      <w:r w:rsidR="002E6BDF">
        <w:t xml:space="preserve">une </w:t>
      </w:r>
      <w:r>
        <w:t>autre à 25</w:t>
      </w:r>
      <w:r w:rsidR="002E6BDF">
        <w:t> </w:t>
      </w:r>
      <w:r>
        <w:t>% en affermage et 75</w:t>
      </w:r>
      <w:r w:rsidR="002E6BDF">
        <w:t> </w:t>
      </w:r>
      <w:r>
        <w:t>% concessive, les 25</w:t>
      </w:r>
      <w:r w:rsidR="002E6BDF">
        <w:t> </w:t>
      </w:r>
      <w:r>
        <w:t>% correspondant au lot de NRO estimés les plus coûteux.</w:t>
      </w:r>
    </w:p>
    <w:p w:rsidR="00D03A0F" w:rsidRDefault="00D03A0F" w:rsidP="003A675F"/>
    <w:p w:rsidR="00D03A0F" w:rsidRDefault="00D03A0F" w:rsidP="003A675F">
      <w:r w:rsidRPr="00557F23">
        <w:rPr>
          <w:b/>
        </w:rPr>
        <w:t>Doubs THD</w:t>
      </w:r>
      <w:r>
        <w:t xml:space="preserve"> est actuellement en cours de construction de son réseau et démarre la commercialisation avec </w:t>
      </w:r>
      <w:r w:rsidR="0062108F">
        <w:t xml:space="preserve">son </w:t>
      </w:r>
      <w:r>
        <w:t>partenaire Altitude infrastructure.</w:t>
      </w:r>
    </w:p>
    <w:p w:rsidR="00D03A0F" w:rsidRDefault="00D03A0F" w:rsidP="003A675F">
      <w:r>
        <w:t>Aujourd’hui, environ 10 000 prises ont été construites, 6 000 prises sont en exploitation et le réseau compte environ 500 clients. Doubs THD constate de bons taux de pénétration</w:t>
      </w:r>
      <w:r w:rsidR="00557F23">
        <w:t>,</w:t>
      </w:r>
      <w:r>
        <w:t xml:space="preserve"> en particulier</w:t>
      </w:r>
      <w:r w:rsidR="00557F23">
        <w:t>,</w:t>
      </w:r>
      <w:r>
        <w:t xml:space="preserve"> dans le milieu très rural. Parmi les sujets suivis, le syndicat mixte relève l’accès aux infrastructures de génie civil qui le ralenti</w:t>
      </w:r>
      <w:r w:rsidR="0062108F">
        <w:t>t</w:t>
      </w:r>
      <w:r>
        <w:t xml:space="preserve"> dans la construction et la question de la maitrise de la tarificati</w:t>
      </w:r>
      <w:r w:rsidR="00557F23">
        <w:t>on de cet accès qui représente</w:t>
      </w:r>
      <w:r>
        <w:t xml:space="preserve"> des charges directement supportées par le porteur</w:t>
      </w:r>
      <w:r w:rsidR="0062108F">
        <w:t xml:space="preserve"> du projet</w:t>
      </w:r>
      <w:r>
        <w:t>.</w:t>
      </w:r>
    </w:p>
    <w:p w:rsidR="00D03A0F" w:rsidRDefault="00D03A0F" w:rsidP="003A675F">
      <w:r>
        <w:t>Aujourd’hui, Doubs THD a recours à un contrat d’exploitation de type régie intéressée de courte durée sur la première phase</w:t>
      </w:r>
      <w:r w:rsidR="00557F23">
        <w:t>. Il est également prévu de déposer d’ici 3 à 6 mois, un dossier FSN de phase 2 portant sur environ 100 000 prises à réaliser d’ici 2022-2023 avec, probablement, une composante FttE sur certains territoires.</w:t>
      </w:r>
    </w:p>
    <w:p w:rsidR="0098444D" w:rsidRDefault="0098444D" w:rsidP="003A675F"/>
    <w:p w:rsidR="008C1CDD" w:rsidRDefault="0098444D" w:rsidP="003A675F">
      <w:r w:rsidRPr="00693977">
        <w:rPr>
          <w:b/>
        </w:rPr>
        <w:t>Mégalis Bretagne</w:t>
      </w:r>
      <w:r w:rsidR="00A00AB4">
        <w:t xml:space="preserve"> indique que son projet concerne 1,2 millions de prises. Le fermier, THD Bretagne, filiale d’Orange, a été sélectionné fin décembre 2015. L’objectif est de parvenir à 70 000 prises d’ici fin 2016 et que 2 000 soient raccordables</w:t>
      </w:r>
      <w:r w:rsidR="008C1CDD">
        <w:t>, l’ouverture commerciale est prévue pour le mois prochain.</w:t>
      </w:r>
    </w:p>
    <w:p w:rsidR="0098444D" w:rsidRDefault="008C1CDD" w:rsidP="003A675F">
      <w:r>
        <w:t>Mégalis rappelle avoir participé aux expérimentations des NRO dans les NRA</w:t>
      </w:r>
      <w:r w:rsidR="00A00AB4">
        <w:t xml:space="preserve"> </w:t>
      </w:r>
      <w:r>
        <w:t xml:space="preserve">et </w:t>
      </w:r>
      <w:r w:rsidR="00C94B7E">
        <w:t xml:space="preserve">avoir </w:t>
      </w:r>
      <w:r w:rsidR="00693977">
        <w:t>une attente sur les offres FttE afin d’aller notamment raccorder des sites prioritaires.</w:t>
      </w:r>
    </w:p>
    <w:p w:rsidR="00693977" w:rsidRDefault="00693977" w:rsidP="003A675F"/>
    <w:p w:rsidR="00693977" w:rsidRDefault="00693977" w:rsidP="003A675F">
      <w:r w:rsidRPr="00E640EA">
        <w:rPr>
          <w:b/>
        </w:rPr>
        <w:t>Le conseil départemental de Loire-Atlantique</w:t>
      </w:r>
      <w:r>
        <w:t xml:space="preserve"> est en fin de déploiement des opérations de montée en débit représentant 152 SR. Un marché est également en cours pour le déploiement FttH avec un projet de 100 000 prises sur 5 ans.</w:t>
      </w:r>
    </w:p>
    <w:p w:rsidR="00693977" w:rsidRDefault="00693977" w:rsidP="003A675F">
      <w:r>
        <w:t>Pour la Loire-Atlantique, les sujets prioritaires portent sur les étapes à venir concernant l’offre FttE, sur la tarification du catalogue de service et les infrastructures</w:t>
      </w:r>
      <w:r w:rsidR="003F1F1B">
        <w:t xml:space="preserve"> (architecture technique à privilégier)</w:t>
      </w:r>
      <w:r w:rsidR="0062108F">
        <w:t>.</w:t>
      </w:r>
    </w:p>
    <w:p w:rsidR="00054406" w:rsidRDefault="00054406" w:rsidP="003A675F"/>
    <w:p w:rsidR="00054406" w:rsidRDefault="00054406" w:rsidP="00054406">
      <w:pPr>
        <w:pStyle w:val="Titre2"/>
      </w:pPr>
      <w:r>
        <w:t>Présentations</w:t>
      </w:r>
    </w:p>
    <w:p w:rsidR="00054406" w:rsidRPr="00373D6C" w:rsidRDefault="00054406" w:rsidP="00373D6C">
      <w:pPr>
        <w:pStyle w:val="Titre3"/>
      </w:pPr>
      <w:r w:rsidRPr="00373D6C">
        <w:t>Investissements dans le très haut débit</w:t>
      </w:r>
    </w:p>
    <w:p w:rsidR="00343634" w:rsidRDefault="00343634" w:rsidP="00343634">
      <w:r w:rsidRPr="00C94B7E">
        <w:t>La</w:t>
      </w:r>
      <w:r w:rsidRPr="00F604F2">
        <w:rPr>
          <w:b/>
        </w:rPr>
        <w:t xml:space="preserve"> FNCCR</w:t>
      </w:r>
      <w:r>
        <w:t xml:space="preserve"> indique avoir répondu à la consultation publique en soulignant que la dynamique concurrentielle est relativement en suspens car, au vu des données de progression des abonnements, seul un opérateur se </w:t>
      </w:r>
      <w:r>
        <w:lastRenderedPageBreak/>
        <w:t>détache. En effet, 35</w:t>
      </w:r>
      <w:r w:rsidR="002E6BDF">
        <w:t> </w:t>
      </w:r>
      <w:r>
        <w:t>% des prises sont commercialisées par un FAI distinct de l’opérateur d’infrastructure, le reste étant au bénéfice de l’opérateur Orange.</w:t>
      </w:r>
    </w:p>
    <w:p w:rsidR="00343634" w:rsidRDefault="000F7C7B" w:rsidP="00343634">
      <w:r>
        <w:t>La FNCCR affirme que c</w:t>
      </w:r>
      <w:r w:rsidR="00343634">
        <w:t>e ralentissement de la dynamique concurrentiel</w:t>
      </w:r>
      <w:r w:rsidR="00B67523">
        <w:t>le</w:t>
      </w:r>
      <w:r w:rsidR="00343634">
        <w:t xml:space="preserve"> est également visible dans les RIP sous divers aspects</w:t>
      </w:r>
      <w:r>
        <w:t>,</w:t>
      </w:r>
      <w:r w:rsidR="00F604F2">
        <w:t xml:space="preserve"> même dans les cas où un opérateur intégré est en charge de ce RIP</w:t>
      </w:r>
      <w:r w:rsidR="00D52EC3">
        <w:t>. Cette situation place les collectivités en difficulté pour dynamiser et assurer un avancement de ces abonnements prévus par les conventions.</w:t>
      </w:r>
    </w:p>
    <w:p w:rsidR="00D52EC3" w:rsidRDefault="00D52EC3" w:rsidP="00343634">
      <w:r>
        <w:t>S’agissant d’un dispositif qui permettrait de renforcer l</w:t>
      </w:r>
      <w:r w:rsidR="00B67523">
        <w:t>a mutualisation commerciale ou l</w:t>
      </w:r>
      <w:r>
        <w:t xml:space="preserve">es </w:t>
      </w:r>
      <w:r w:rsidR="00730B95">
        <w:t>processus opérationnels, la FNC</w:t>
      </w:r>
      <w:r>
        <w:t>CR interpelle l’Agence du numérique pour connaître l’état d’avancement du projet visant à développer une telle plateforme qui avait été évoqué</w:t>
      </w:r>
      <w:r w:rsidR="001D1206">
        <w:t>e</w:t>
      </w:r>
      <w:r>
        <w:t xml:space="preserve"> dans le cadre du groupe </w:t>
      </w:r>
      <w:r w:rsidR="00B67523">
        <w:t>Interop’ Fibre</w:t>
      </w:r>
      <w:r>
        <w:t>.</w:t>
      </w:r>
    </w:p>
    <w:p w:rsidR="006A3686" w:rsidRDefault="00730B95" w:rsidP="00343634">
      <w:r>
        <w:t>La FNCCR indique avoir réalisé une étude visant à déterminer dans quelle mesure il est possible de permettre une mutualisation des RIP. Pour la FNCCR, cette démarche est envisagée en complémentarité avec une action qui serait plus incitative sur le marché de détails.</w:t>
      </w:r>
      <w:r w:rsidR="000F7C7B">
        <w:t xml:space="preserve"> </w:t>
      </w:r>
      <w:r w:rsidR="006A3686">
        <w:t xml:space="preserve">Plus particulièrement, les conclusions de cette étude préconisent de donner davantage de visibilité </w:t>
      </w:r>
      <w:r w:rsidR="001D1206">
        <w:t xml:space="preserve">concernant </w:t>
      </w:r>
      <w:r w:rsidR="006A3686">
        <w:t>l’ensemble des prises FttH pouvant être offertes par les RIP</w:t>
      </w:r>
      <w:r w:rsidR="00CB585A">
        <w:t xml:space="preserve"> afin de limiter les difficultés des déploiements et parvenir à des volumes suffisants pour attirer notamment les grands FAI.</w:t>
      </w:r>
    </w:p>
    <w:p w:rsidR="00CB585A" w:rsidRDefault="00CB585A" w:rsidP="00343634">
      <w:r>
        <w:t xml:space="preserve">L’étude vise à apporter une réflexion sur ce qu’une structure de ce type pourrait offrir en matière de visibilité commerciale, de simplification des démarches et </w:t>
      </w:r>
      <w:r w:rsidR="000F7C7B">
        <w:t>de services mutualisés pour les collectivités dans un contexte plus opérationnel d’exploitation voire de gestion du génie civil.</w:t>
      </w:r>
    </w:p>
    <w:p w:rsidR="000E0A23" w:rsidRDefault="000E0A23" w:rsidP="00343634"/>
    <w:p w:rsidR="00CB585A" w:rsidRDefault="004D5DF2" w:rsidP="00343634">
      <w:r w:rsidRPr="004D5DF2">
        <w:rPr>
          <w:b/>
        </w:rPr>
        <w:t>Seine-et-Marne numérique</w:t>
      </w:r>
      <w:r>
        <w:t xml:space="preserve"> précise que le FttE ne repose pas sur une question d’architecture de type BLOM ou BLOD mais de besoins des entreprises. Dès lors qu’un processus et une ingénierie permettant d’assurer une qualité de service sont mis en place, le recours au RIP 1G ou 2G est indifférent pour les entreprises</w:t>
      </w:r>
      <w:r w:rsidR="00D03BC0">
        <w:t>.</w:t>
      </w:r>
    </w:p>
    <w:p w:rsidR="00D03BC0" w:rsidRDefault="00D03BC0" w:rsidP="00343634">
      <w:r>
        <w:t xml:space="preserve">Le syndicat mixte rappelle que le département dispose d’un RIP BLOD sur son territoire visant à desservir environ 1 400 sites publics et entreprises. Ce </w:t>
      </w:r>
      <w:r w:rsidR="005468D7">
        <w:t>RIP 1G</w:t>
      </w:r>
      <w:r>
        <w:t xml:space="preserve"> continue de s’étendre et connait une forte dynamique</w:t>
      </w:r>
      <w:r w:rsidR="005468D7">
        <w:t xml:space="preserve"> au moyen notamment de la fibre noire déployée dans le cadre du RIP 2G</w:t>
      </w:r>
      <w:r>
        <w:t>. Seine-et-Marne numérique constate également qu’il n’y a pas nécessairement de corrélation entre la taille de l’entreprise et ses besoins en matière de débits, ce qui importe essentiellement concerne son exposition stratégique à l’usage des outils numériques qui peuvent croitre brutalement.</w:t>
      </w:r>
    </w:p>
    <w:p w:rsidR="005468D7" w:rsidRDefault="005468D7" w:rsidP="00343634"/>
    <w:p w:rsidR="005468D7" w:rsidRDefault="0076439F" w:rsidP="00343634">
      <w:r>
        <w:t>Les services de l’Arcep</w:t>
      </w:r>
      <w:r w:rsidR="005468D7">
        <w:t xml:space="preserve"> précise</w:t>
      </w:r>
      <w:r>
        <w:t>nt</w:t>
      </w:r>
      <w:r w:rsidR="005468D7">
        <w:t>, concernant le FttE, que cette question repose sur deux niveaux : un premier concernant les offres de gros</w:t>
      </w:r>
      <w:r w:rsidR="00934771">
        <w:t xml:space="preserve"> ayant fait l’objet d’une consultation publique de l’Arcep, visant à déterminer quelles offres de gros les opérateurs de gros pouvaient proposer</w:t>
      </w:r>
      <w:r w:rsidR="002E6BDF">
        <w:t xml:space="preserve"> </w:t>
      </w:r>
      <w:r w:rsidR="00934771">
        <w:t>et un second niveau « déploiements et infrastructures » qui concerne l’aspect génie civil. Dans ce dernier cas, la question qui se pose aujourd’hui est de savoir s’il faut décloisonner encore davantage le recours au génie civil.</w:t>
      </w:r>
    </w:p>
    <w:p w:rsidR="004704DC" w:rsidRDefault="004704DC" w:rsidP="00343634"/>
    <w:p w:rsidR="004704DC" w:rsidRDefault="004704DC" w:rsidP="00343634">
      <w:r>
        <w:t xml:space="preserve">Pour </w:t>
      </w:r>
      <w:r w:rsidRPr="004704DC">
        <w:rPr>
          <w:b/>
        </w:rPr>
        <w:t>Oise THD</w:t>
      </w:r>
      <w:r>
        <w:t>, il existe également une question concernant la complémentarité et la bonne synergie entre le RIP 1G FttO et le RIP 2G et indique qu’aujourd’hui encore il existe un besoin pour les entreprises en FttO, certaines d’entre elles, comptant parfois moins de 20 salariés sont par ailleurs desservies par le RIP 1G.</w:t>
      </w:r>
    </w:p>
    <w:p w:rsidR="004704DC" w:rsidRDefault="004704DC" w:rsidP="00343634">
      <w:r>
        <w:t>Le syndicat mixte exprime une inquiétude quant à l’utilisation du terme « normalisation »</w:t>
      </w:r>
      <w:r w:rsidR="00663DC4">
        <w:t>, selon lui il revient aux opérateurs de proposer des offres activées comme c’est le déjà le cas sur le DSL</w:t>
      </w:r>
      <w:r w:rsidR="0020010C">
        <w:t>. L</w:t>
      </w:r>
      <w:r w:rsidR="00663DC4">
        <w:t>a question se pose surtout pour les opérateurs « intermédiaires » disposant déjà d’</w:t>
      </w:r>
      <w:r w:rsidR="0020010C">
        <w:t>un outil industriel s’appuyant sur des offres activées sur le DSL. En effet, lorsque ces derniers collectent plusieurs départements, il risque d’y avoir une incompréhension s’ils ne peuvent bénéficier partout de trafic FttH et de fait, ne pas pouvoir étendre leur gamme de produits.</w:t>
      </w:r>
    </w:p>
    <w:p w:rsidR="00B60D1A" w:rsidRDefault="0020010C" w:rsidP="00343634">
      <w:r>
        <w:t xml:space="preserve">Pour Oise THD il apparait naturel d’avoir recours à des systèmes d’information de mutualisation pour les processus opérationnels ou commerciaux, mais il s’interroge sur son rôle à jouer dans le domaine sachant que </w:t>
      </w:r>
      <w:r w:rsidR="00A76500">
        <w:t>l</w:t>
      </w:r>
      <w:r>
        <w:t xml:space="preserve">a </w:t>
      </w:r>
      <w:r w:rsidR="00A76500">
        <w:t>commercialisation</w:t>
      </w:r>
      <w:r>
        <w:t xml:space="preserve"> de son réseau est déléguée au fermier. Néanmoins, il indique que cet aspect doit être encouragé</w:t>
      </w:r>
      <w:r w:rsidR="00B60D1A">
        <w:t xml:space="preserve"> auprès des </w:t>
      </w:r>
      <w:r w:rsidR="005E3ED4">
        <w:t>opérateurs</w:t>
      </w:r>
      <w:r w:rsidR="00B60D1A">
        <w:t xml:space="preserve"> d’</w:t>
      </w:r>
      <w:r w:rsidR="005E3ED4">
        <w:t>immeubles</w:t>
      </w:r>
      <w:r w:rsidR="00B60D1A">
        <w:t xml:space="preserve"> et des autorités </w:t>
      </w:r>
      <w:r w:rsidR="005E3ED4">
        <w:t>dé</w:t>
      </w:r>
      <w:r w:rsidR="00256533">
        <w:t>léga</w:t>
      </w:r>
      <w:r w:rsidR="005E3ED4">
        <w:t>ntes</w:t>
      </w:r>
      <w:r w:rsidR="00256533">
        <w:t xml:space="preserve"> afin que la mise en place d’un tel système d’information soutienne concomitamment les processus techniques et commerciaux.</w:t>
      </w:r>
    </w:p>
    <w:p w:rsidR="008522C1" w:rsidRDefault="008522C1" w:rsidP="00343634">
      <w:r>
        <w:t xml:space="preserve">S’agissant du groupe Interop’Fibre, le syndicat mixte indique avoir de nombreuses remontées de contraintes concernant les déploiements d’un réseau FttH, certaines règles d’ingénieries imposées par le propriétaire du réseau </w:t>
      </w:r>
      <w:r w:rsidR="005C1247">
        <w:t xml:space="preserve">historique </w:t>
      </w:r>
      <w:r>
        <w:t>pourraient être revues dans le cadre de l’accès au génie civil</w:t>
      </w:r>
      <w:r w:rsidR="005C1247">
        <w:t xml:space="preserve"> en zone moins dense</w:t>
      </w:r>
      <w:r>
        <w:t>.</w:t>
      </w:r>
    </w:p>
    <w:p w:rsidR="008522C1" w:rsidRDefault="008522C1" w:rsidP="00343634">
      <w:r>
        <w:t>Oise THD signale également un manque d’acculturation des entreprises voire de certains professionnels qui ne connaissent pas nécessairement les possibilités offertes par la fibre optique et les offres qui pourraient être proposées.</w:t>
      </w:r>
    </w:p>
    <w:p w:rsidR="008522C1" w:rsidRDefault="008522C1" w:rsidP="00343634">
      <w:r>
        <w:lastRenderedPageBreak/>
        <w:t>Concernant l’extinction du cuivre, le syndicat mixte doute de l’efficacité des modulations tarifaires</w:t>
      </w:r>
      <w:r w:rsidR="00A64AC3">
        <w:t xml:space="preserve"> visant à inciter les opérateurs à ne pas recourir au cuivre quand la fibre optique est disponible.</w:t>
      </w:r>
    </w:p>
    <w:p w:rsidR="002573A1" w:rsidRDefault="002573A1" w:rsidP="00343634"/>
    <w:p w:rsidR="002573A1" w:rsidRDefault="002573A1" w:rsidP="00343634">
      <w:r w:rsidRPr="002573A1">
        <w:rPr>
          <w:b/>
        </w:rPr>
        <w:t>Somme numérique</w:t>
      </w:r>
      <w:r>
        <w:t xml:space="preserve"> fait le constat qu’il risque d’y avoir des disparités entre les RIP en fonction du délégataire sélectionné, à savoir s’il est ou non opérateur intégré. Sur ce sujet, le syndicat mixte indique</w:t>
      </w:r>
      <w:r w:rsidR="0043770D">
        <w:t xml:space="preserve"> que</w:t>
      </w:r>
      <w:r>
        <w:t xml:space="preserve"> les documents présentés par l’Arcep </w:t>
      </w:r>
      <w:r w:rsidR="0043770D">
        <w:t xml:space="preserve">invitent uniquement à se référer aux actions </w:t>
      </w:r>
      <w:r w:rsidR="00B67523">
        <w:t>des</w:t>
      </w:r>
      <w:r w:rsidR="0043770D">
        <w:t xml:space="preserve"> opérateurs intégrés et en déduire leur influence, ce que font déjà les collectivités dans l’élaboration de leurs projets.</w:t>
      </w:r>
    </w:p>
    <w:p w:rsidR="0043770D" w:rsidRDefault="0043770D" w:rsidP="00343634">
      <w:r>
        <w:t>Pour ce qui est de la mutualisation des commercialisations, Somme numérique indique que cette question doit être envisagée par les délégataires dont c’est le métier et non les collectivités.</w:t>
      </w:r>
    </w:p>
    <w:p w:rsidR="0043770D" w:rsidRDefault="0043770D" w:rsidP="00343634">
      <w:r>
        <w:t>Le syndicat propose également un mécanisme qui obligerait les opérateurs, ayant une part importante dans le FttH, à répo</w:t>
      </w:r>
      <w:r w:rsidR="00B67523">
        <w:t>ndre</w:t>
      </w:r>
      <w:r>
        <w:t xml:space="preserve"> à toutes les demandes de leurs abonnées, quel que soit le territoire, dès lors que ces clients sont raccordables. En effet, le porteur du RIP </w:t>
      </w:r>
      <w:r w:rsidR="00B67523">
        <w:t>considère que,</w:t>
      </w:r>
      <w:r w:rsidR="0019788A">
        <w:t xml:space="preserve"> malgré la construction de </w:t>
      </w:r>
      <w:r w:rsidR="001D1206">
        <w:t xml:space="preserve">son </w:t>
      </w:r>
      <w:r>
        <w:t xml:space="preserve">réseau, les opérateurs intégrés privilégient des territoires </w:t>
      </w:r>
      <w:r w:rsidR="0019788A">
        <w:t>présentant plus d’attrait du point de vue économique. Ce type de comportement risquerait de créer d’ici quelques années des disparités entre les territoires. Le syndicat mixt</w:t>
      </w:r>
      <w:r w:rsidR="003935BB">
        <w:t xml:space="preserve">e propose ainsi, </w:t>
      </w:r>
      <w:r w:rsidR="0019788A">
        <w:t>afin de trouver des pistes de réflexions</w:t>
      </w:r>
      <w:r w:rsidR="00B67523">
        <w:t>,</w:t>
      </w:r>
      <w:r w:rsidR="0019788A">
        <w:t xml:space="preserve"> de déconnecter les problématiques de territoires et les problématiques de co-financement.</w:t>
      </w:r>
    </w:p>
    <w:p w:rsidR="0019788A" w:rsidRDefault="0019788A" w:rsidP="00343634">
      <w:r>
        <w:t>Concernant le FttE, Somme numérique indique les efforts fait dans le cadre des RIP 1G pour amener des offres plus abordables aux entreprises</w:t>
      </w:r>
      <w:r w:rsidR="003935BB">
        <w:t>. Il doute par ailleurs, d’une émergence massive de demandes d’offres FttE, le syndicat mixte constat</w:t>
      </w:r>
      <w:r w:rsidR="001D1206">
        <w:t>ant</w:t>
      </w:r>
      <w:r w:rsidR="003935BB">
        <w:t xml:space="preserve"> en effet que les entreprises ont recours soit à des offres grand public</w:t>
      </w:r>
      <w:r w:rsidR="001D1206">
        <w:t>,</w:t>
      </w:r>
      <w:r w:rsidR="003935BB">
        <w:t xml:space="preserve"> soit à des offres spécifiques sur BLOD. Il reviendra donc au délégataire de trouver un équilibre dans ce domaine sous réserve que soient apportées des prescriptions techniques</w:t>
      </w:r>
      <w:r w:rsidR="00B67523">
        <w:t>,</w:t>
      </w:r>
      <w:r w:rsidR="003935BB">
        <w:t xml:space="preserve"> dans la façon dont les réseaux sont construits et rendus opérables par les délégataires.</w:t>
      </w:r>
    </w:p>
    <w:p w:rsidR="00FC4884" w:rsidRDefault="00FC4884" w:rsidP="00343634">
      <w:r>
        <w:t>Dans le cadre de la montée en débit, Somme numérique s’inquiète des investissements réalisés par les collectivités au bénéfice d’Orange. Le syndicat mixte s’interroge sur le fait de savoir s’il existe aujourd’hui une mesure d’évaluation de ces transferts d’investissements public vers Orange.</w:t>
      </w:r>
    </w:p>
    <w:p w:rsidR="00FC4884" w:rsidRDefault="00FC4884" w:rsidP="00343634"/>
    <w:p w:rsidR="00FC4884" w:rsidRDefault="0076439F" w:rsidP="00343634">
      <w:r>
        <w:t>Les services de l’Arcep</w:t>
      </w:r>
      <w:r w:rsidR="00FC4884">
        <w:t xml:space="preserve"> rappelle</w:t>
      </w:r>
      <w:r>
        <w:t>nt</w:t>
      </w:r>
      <w:r w:rsidR="00FC4884">
        <w:t xml:space="preserve"> que le choix de recourir à la montée en débit relève uniquement de la collectivité et que cette opération a toujours été présentée comme un outil </w:t>
      </w:r>
      <w:r w:rsidR="009E2656">
        <w:t xml:space="preserve">participant au </w:t>
      </w:r>
      <w:r w:rsidR="00FC4884">
        <w:t>mix technologique.</w:t>
      </w:r>
    </w:p>
    <w:p w:rsidR="00FC4884" w:rsidRDefault="00FC4884" w:rsidP="00343634">
      <w:r>
        <w:t>Par ailleurs, dans le cadre de ces opérations de montée en débit, Orange est amené à réaliser un certain nombre d’opérations sur son réseau, celles-ci sont tracées, les montants investis sont publics.</w:t>
      </w:r>
    </w:p>
    <w:p w:rsidR="00FC4884" w:rsidRDefault="0076439F" w:rsidP="00343634">
      <w:r>
        <w:t>Les services de l’Arcep</w:t>
      </w:r>
      <w:r w:rsidR="00FC4884">
        <w:t xml:space="preserve"> rappelle</w:t>
      </w:r>
      <w:r>
        <w:t>nt</w:t>
      </w:r>
      <w:r w:rsidR="00FC4884">
        <w:t xml:space="preserve"> également que l’offre PRM ne représente qu’une partie des investissements du projet global de montée en débit, le reste correspondant aux opérations nécessaires à la mise en œuvre de ce projet et qui sont réalisé</w:t>
      </w:r>
      <w:r w:rsidR="001D1206">
        <w:t>e</w:t>
      </w:r>
      <w:r w:rsidR="00FC4884">
        <w:t>s dans le cadre de marchés publics par un partenaire choisi par la collectivité.</w:t>
      </w:r>
    </w:p>
    <w:p w:rsidR="00FC4884" w:rsidRDefault="00FC4884" w:rsidP="00343634"/>
    <w:p w:rsidR="00FC4884" w:rsidRDefault="00440BFB" w:rsidP="00343634">
      <w:r>
        <w:t>L’</w:t>
      </w:r>
      <w:r w:rsidRPr="0086102C">
        <w:rPr>
          <w:b/>
        </w:rPr>
        <w:t xml:space="preserve">Agence du numérique </w:t>
      </w:r>
      <w:r>
        <w:t xml:space="preserve">indique que des travaux sont en cours entre la Mission THD, </w:t>
      </w:r>
      <w:r w:rsidR="0076439F">
        <w:t>les services de l’Arcep</w:t>
      </w:r>
      <w:r>
        <w:t xml:space="preserve"> et Orange afin de s’assurer que les investissements réalisés dans le cadre de</w:t>
      </w:r>
      <w:r w:rsidR="00A41803">
        <w:t xml:space="preserve">s opérations de montée en débit </w:t>
      </w:r>
      <w:r>
        <w:t>prépare</w:t>
      </w:r>
      <w:r w:rsidR="00A41803">
        <w:t>nt</w:t>
      </w:r>
      <w:r>
        <w:t xml:space="preserve"> les investissements pour le FttH.</w:t>
      </w:r>
    </w:p>
    <w:p w:rsidR="00A41803" w:rsidRDefault="00A41803" w:rsidP="00343634"/>
    <w:p w:rsidR="0086102C" w:rsidRDefault="0086102C" w:rsidP="00A41803">
      <w:r>
        <w:t>S’agissant des travaux sur la « Plateforme commune d’interopérabilité » (PCI), qui sont distincts de ceux du groupe Interop’ Fibre, l’Agence rappelle qu’ils découl</w:t>
      </w:r>
      <w:r w:rsidR="00B67523">
        <w:t xml:space="preserve">ent d’une demande du ministre </w:t>
      </w:r>
      <w:r w:rsidR="00A41803" w:rsidRPr="00A41803">
        <w:t>l'Économie, de l'Industrie et du Numérique</w:t>
      </w:r>
      <w:r w:rsidR="00A41803">
        <w:t xml:space="preserve"> </w:t>
      </w:r>
      <w:r>
        <w:t>visant à accélérer la commercialisation des RIP. Un comité de préfiguration a donc été lancé</w:t>
      </w:r>
      <w:r w:rsidR="00A41803">
        <w:t xml:space="preserve"> en avril</w:t>
      </w:r>
      <w:r>
        <w:t xml:space="preserve"> avec l’ensemble des opérateurs d’infrastructures intervenant sur les RIP</w:t>
      </w:r>
      <w:r w:rsidR="00A41803">
        <w:t>.</w:t>
      </w:r>
      <w:r>
        <w:t xml:space="preserve"> </w:t>
      </w:r>
      <w:r w:rsidR="00A41803">
        <w:t>Ce comité de préfiguration</w:t>
      </w:r>
      <w:r>
        <w:t xml:space="preserve"> n’a</w:t>
      </w:r>
      <w:r w:rsidR="00A41803">
        <w:t>yant</w:t>
      </w:r>
      <w:r>
        <w:t xml:space="preserve"> pas </w:t>
      </w:r>
      <w:r w:rsidR="00A41803">
        <w:t xml:space="preserve">de dégager </w:t>
      </w:r>
      <w:r>
        <w:t>un consensus</w:t>
      </w:r>
      <w:r w:rsidR="00A41803">
        <w:t xml:space="preserve"> entre l’ensemble des acteurs,</w:t>
      </w:r>
      <w:r>
        <w:t xml:space="preserve"> </w:t>
      </w:r>
      <w:r w:rsidR="00A41803">
        <w:t>l</w:t>
      </w:r>
      <w:r>
        <w:t xml:space="preserve">a MTHD a poursuivi ces travaux </w:t>
      </w:r>
      <w:r w:rsidR="00A41803">
        <w:t xml:space="preserve">dans le courant de l’été </w:t>
      </w:r>
      <w:r>
        <w:t>avec</w:t>
      </w:r>
      <w:r w:rsidR="009E2656">
        <w:t xml:space="preserve"> </w:t>
      </w:r>
      <w:r>
        <w:t>les acteurs souhaitant</w:t>
      </w:r>
      <w:r w:rsidR="00A41803">
        <w:t xml:space="preserve"> participer activement à la mise en place d’une plateforme commune. Ces travaux ont notamment permis de définir un périmètre fonctionnel cible optimal de la PCI.</w:t>
      </w:r>
      <w:r>
        <w:t xml:space="preserve"> </w:t>
      </w:r>
    </w:p>
    <w:p w:rsidR="00AD0DB4" w:rsidRDefault="00AD0DB4" w:rsidP="00343634"/>
    <w:p w:rsidR="00AD0DB4" w:rsidRDefault="00AD0DB4" w:rsidP="00343634">
      <w:r w:rsidRPr="00A55B4D">
        <w:rPr>
          <w:b/>
        </w:rPr>
        <w:t>Altitude</w:t>
      </w:r>
      <w:r>
        <w:t xml:space="preserve"> fait remarquer que dans les slides présentés par </w:t>
      </w:r>
      <w:r w:rsidR="0076439F">
        <w:t>les services de l’Arcep</w:t>
      </w:r>
      <w:r>
        <w:t>, était évoqué le fait de recourir à des offres privilégiant un accès au NRO et non au PM dan</w:t>
      </w:r>
      <w:r w:rsidR="00C352E1">
        <w:t>s le cas des zones très denses. C</w:t>
      </w:r>
      <w:r>
        <w:t xml:space="preserve">e type de problématique se retrouve également en </w:t>
      </w:r>
      <w:r w:rsidR="00C352E1">
        <w:t>zone</w:t>
      </w:r>
      <w:r w:rsidR="009E2656">
        <w:t>s</w:t>
      </w:r>
      <w:r w:rsidR="00C352E1">
        <w:t xml:space="preserve"> moins dense</w:t>
      </w:r>
      <w:r w:rsidR="009E2656">
        <w:t>s</w:t>
      </w:r>
      <w:r>
        <w:t xml:space="preserve"> où la réglementation prévoit accès au PM ou au PRDM quand les PM font moins de 1</w:t>
      </w:r>
      <w:r w:rsidR="009E2656">
        <w:t> </w:t>
      </w:r>
      <w:r>
        <w:t xml:space="preserve">000 lignes, la demande du marché actuellement est celle d’un accès au NRO. Dans les faits, les accès au PM seront assez limités dans la mesure où </w:t>
      </w:r>
      <w:r w:rsidR="00A55B4D">
        <w:t>seront traités</w:t>
      </w:r>
      <w:r>
        <w:t xml:space="preserve"> des territoires ruraux, plutôt petits et éclatés.</w:t>
      </w:r>
    </w:p>
    <w:p w:rsidR="00A55B4D" w:rsidRDefault="00C352E1" w:rsidP="00343634">
      <w:r>
        <w:t>Pour ce qui est de l’o</w:t>
      </w:r>
      <w:r w:rsidR="00A55B4D">
        <w:t xml:space="preserve">bligation de publication des intentions des opérateurs intégrés dans le cadre des procédures de RIP, en tant que candidat à ces procédures, </w:t>
      </w:r>
      <w:r>
        <w:t>Altitude</w:t>
      </w:r>
      <w:r w:rsidR="00A55B4D">
        <w:t xml:space="preserve"> constate </w:t>
      </w:r>
      <w:r>
        <w:t>avoir</w:t>
      </w:r>
      <w:r w:rsidR="00A55B4D">
        <w:t xml:space="preserve"> rarement de retour sur ce types de sujets et donc pas de visibilité sur les intentions des autres opérateurs intégrés.</w:t>
      </w:r>
      <w:r w:rsidR="000D1F6B">
        <w:t xml:space="preserve"> Altitude note que ce point a été évoqué dans le bilan et perspective</w:t>
      </w:r>
      <w:r>
        <w:t>s</w:t>
      </w:r>
      <w:r w:rsidR="000D1F6B">
        <w:t xml:space="preserve"> mais sa mise en œuvre lui semble assez limité</w:t>
      </w:r>
      <w:r w:rsidR="001D1206">
        <w:t>e</w:t>
      </w:r>
      <w:r w:rsidR="000D1F6B">
        <w:t xml:space="preserve"> aujourd’hui. </w:t>
      </w:r>
    </w:p>
    <w:p w:rsidR="000D1F6B" w:rsidRDefault="00B35D15" w:rsidP="00343634">
      <w:r>
        <w:lastRenderedPageBreak/>
        <w:t>Concernant la PCI et le groupe Interop’, en tant qu’OI dans le cadre de RIP et membre de la FIRIP, il y a un vrai consensus sur la volonté de travailler avec l’ensemble des OC du secteur et de mettre en œuvre l’ensemble des moyens nécessaire pour faciliter leur venue sur les RIP. Deux pistes alternatives</w:t>
      </w:r>
      <w:r w:rsidR="009E2656">
        <w:t xml:space="preserve"> </w:t>
      </w:r>
      <w:r>
        <w:t>sont effectivement discutées en lien avec les opérateurs prospects</w:t>
      </w:r>
      <w:r w:rsidR="009E2656">
        <w:t> </w:t>
      </w:r>
      <w:r>
        <w:t>: le renforcement de la gouvernance côté groupe Interop’</w:t>
      </w:r>
      <w:r w:rsidR="00C352E1">
        <w:t xml:space="preserve"> Fibre,</w:t>
      </w:r>
      <w:r>
        <w:t xml:space="preserve"> qui viendrait enrichir le langage commun</w:t>
      </w:r>
      <w:r w:rsidR="00C352E1">
        <w:t>,</w:t>
      </w:r>
      <w:r>
        <w:t xml:space="preserve"> ou le développement d’un outil spécifique. Il n’y a pas encore de consensus sur le sujet mais bon espoir que cela soit le cas courant octobre, à défaut les deux voies seront poussées.</w:t>
      </w:r>
    </w:p>
    <w:p w:rsidR="00AD0DB4" w:rsidRDefault="00F64E71" w:rsidP="00343634">
      <w:r>
        <w:t>Concernant le FttE, Altitude indique que</w:t>
      </w:r>
      <w:r w:rsidR="001D1206">
        <w:t>,</w:t>
      </w:r>
      <w:r>
        <w:t xml:space="preserve"> jusqu’alors</w:t>
      </w:r>
      <w:r w:rsidR="001D1206">
        <w:t>,</w:t>
      </w:r>
      <w:r>
        <w:t xml:space="preserve"> le marché a pu s’organiser sans normes ou réglementation pour ce qui est de la gestion des prof</w:t>
      </w:r>
      <w:r w:rsidR="00C352E1">
        <w:t>essionnels sur les réseaux BLOM. Cette gestion passant</w:t>
      </w:r>
      <w:r>
        <w:t xml:space="preserve"> aujourd’hui quasi exclusivement par la fourniture de services activés</w:t>
      </w:r>
      <w:r w:rsidR="00C352E1">
        <w:t>,</w:t>
      </w:r>
      <w:r>
        <w:t xml:space="preserve"> dans une logique de péréquation tarifaire et technique. Néanmoins, l’opérateur indique souhaiter que le sujet avance dans la mesure</w:t>
      </w:r>
      <w:r w:rsidR="009168CE">
        <w:t xml:space="preserve"> où</w:t>
      </w:r>
      <w:r>
        <w:t xml:space="preserve"> les débats pourraient amener des modifications en termes d’ingénieries</w:t>
      </w:r>
      <w:r w:rsidR="00C352E1">
        <w:t xml:space="preserve">, </w:t>
      </w:r>
      <w:r>
        <w:t xml:space="preserve">sachant que les déploiements sont largement avancés </w:t>
      </w:r>
      <w:r w:rsidR="00C352E1">
        <w:t>et</w:t>
      </w:r>
      <w:r>
        <w:t xml:space="preserve"> qu’une </w:t>
      </w:r>
      <w:r w:rsidR="00C352E1">
        <w:t>part importante</w:t>
      </w:r>
      <w:r>
        <w:t xml:space="preserve"> reste à déployer. </w:t>
      </w:r>
    </w:p>
    <w:p w:rsidR="001D1206" w:rsidRDefault="00F64E71" w:rsidP="00343634">
      <w:r>
        <w:t>De manière générale</w:t>
      </w:r>
      <w:r w:rsidR="00C352E1">
        <w:t>,</w:t>
      </w:r>
      <w:r>
        <w:t xml:space="preserve"> sur les services activés</w:t>
      </w:r>
      <w:r w:rsidR="006C17F6">
        <w:t xml:space="preserve"> s</w:t>
      </w:r>
      <w:r w:rsidR="006F3189">
        <w:t xml:space="preserve">ur les réseaux </w:t>
      </w:r>
      <w:r w:rsidR="00C352E1">
        <w:t>très haut débit</w:t>
      </w:r>
      <w:r w:rsidR="006F3189">
        <w:t>, la vision retenue par</w:t>
      </w:r>
      <w:r w:rsidR="006C17F6">
        <w:t xml:space="preserve"> l’Arcep </w:t>
      </w:r>
      <w:r w:rsidR="006F3189">
        <w:t>consiste à dire</w:t>
      </w:r>
      <w:r w:rsidR="001D1206">
        <w:t xml:space="preserve"> : </w:t>
      </w:r>
      <w:r w:rsidR="006C17F6">
        <w:t>ces services verront naturellement le jour dans les années à venir et dans le cas contraire</w:t>
      </w:r>
      <w:r w:rsidR="001D1206">
        <w:t>,</w:t>
      </w:r>
      <w:r w:rsidR="006C17F6">
        <w:t xml:space="preserve"> elle mettra en œuvre les moyens nécessaires. </w:t>
      </w:r>
    </w:p>
    <w:p w:rsidR="00F64E71" w:rsidRDefault="006C17F6" w:rsidP="00343634">
      <w:r>
        <w:t>Altitude active l’ensemble d</w:t>
      </w:r>
      <w:r w:rsidR="006F3189">
        <w:t>e s</w:t>
      </w:r>
      <w:r>
        <w:t xml:space="preserve">es réseaux pour ne pas être dépendant de la stratégie de quelques acteurs susceptibles de venir souscrire à des services passifs. </w:t>
      </w:r>
      <w:r w:rsidR="006F3189">
        <w:t>Néanmoins, l’opérateur s</w:t>
      </w:r>
      <w:r>
        <w:t xml:space="preserve">’étonne de ne pas voir </w:t>
      </w:r>
      <w:r w:rsidR="006F3189">
        <w:t xml:space="preserve">apparaitre </w:t>
      </w:r>
      <w:r>
        <w:t xml:space="preserve">d’offres activées en </w:t>
      </w:r>
      <w:r w:rsidR="006F3189">
        <w:t>zones très denses</w:t>
      </w:r>
      <w:r>
        <w:t xml:space="preserve"> là où des opérateurs alternatifs</w:t>
      </w:r>
      <w:r w:rsidR="006F3189">
        <w:t>, tels que Videofutur ou Coriolis,</w:t>
      </w:r>
      <w:r>
        <w:t xml:space="preserve"> pou</w:t>
      </w:r>
      <w:r w:rsidR="006F3189">
        <w:t>vant</w:t>
      </w:r>
      <w:r>
        <w:t xml:space="preserve"> avoir des </w:t>
      </w:r>
      <w:r w:rsidR="00AA503A">
        <w:t>velléités</w:t>
      </w:r>
      <w:r w:rsidR="006F3189">
        <w:t xml:space="preserve"> au-delà des RIP, </w:t>
      </w:r>
      <w:r w:rsidR="00AA503A">
        <w:t>commencent à commercialiser sur la base de services activé</w:t>
      </w:r>
      <w:r w:rsidR="006F3189">
        <w:t>s</w:t>
      </w:r>
      <w:r w:rsidR="00AA503A">
        <w:t xml:space="preserve">, </w:t>
      </w:r>
      <w:r w:rsidR="006F3189">
        <w:t>alors qu’</w:t>
      </w:r>
      <w:r w:rsidR="00AA503A">
        <w:t>aujourd’hui le marché en ZTD ne leur est pas ouvert.</w:t>
      </w:r>
      <w:r w:rsidR="006F3189">
        <w:t xml:space="preserve"> </w:t>
      </w:r>
    </w:p>
    <w:p w:rsidR="00ED07E8" w:rsidRDefault="00ED07E8" w:rsidP="00343634"/>
    <w:p w:rsidR="00ED07E8" w:rsidRDefault="00ED07E8" w:rsidP="00343634">
      <w:r>
        <w:t xml:space="preserve">Le </w:t>
      </w:r>
      <w:r w:rsidRPr="00ED07E8">
        <w:rPr>
          <w:b/>
        </w:rPr>
        <w:t>conseil départemental de Saône-et-Loire</w:t>
      </w:r>
      <w:r>
        <w:t>, sur l’offre PRM, regrette que SFR ne vienne pas systématiquement dans les SR opticalisés</w:t>
      </w:r>
      <w:r w:rsidR="00C352E1">
        <w:t xml:space="preserve">. </w:t>
      </w:r>
      <w:r w:rsidR="00CB26B0">
        <w:t xml:space="preserve">Cette position de l’opérateur </w:t>
      </w:r>
      <w:r>
        <w:t xml:space="preserve">a une conséquence sur </w:t>
      </w:r>
      <w:r w:rsidR="00CB26B0">
        <w:t xml:space="preserve">ses </w:t>
      </w:r>
      <w:r>
        <w:t xml:space="preserve">clients qui ne bénéficient pas de la montée en débit </w:t>
      </w:r>
      <w:r w:rsidR="00CB26B0">
        <w:t xml:space="preserve">et </w:t>
      </w:r>
      <w:r w:rsidR="00C352E1">
        <w:t xml:space="preserve">qui </w:t>
      </w:r>
      <w:r>
        <w:t>constate</w:t>
      </w:r>
      <w:r w:rsidR="00C352E1">
        <w:t>nt</w:t>
      </w:r>
      <w:r>
        <w:t xml:space="preserve"> également une dégradation du service.</w:t>
      </w:r>
    </w:p>
    <w:p w:rsidR="00ED07E8" w:rsidRDefault="00ED07E8" w:rsidP="00343634"/>
    <w:p w:rsidR="00ED07E8" w:rsidRDefault="00ED07E8" w:rsidP="00343634">
      <w:r>
        <w:t xml:space="preserve">Le </w:t>
      </w:r>
      <w:r w:rsidRPr="00ED07E8">
        <w:rPr>
          <w:b/>
        </w:rPr>
        <w:t>conseil départemental de Saône-et-Loire</w:t>
      </w:r>
      <w:r>
        <w:t xml:space="preserve"> </w:t>
      </w:r>
      <w:r w:rsidR="00C352E1">
        <w:t>s’agissant du</w:t>
      </w:r>
      <w:r>
        <w:t xml:space="preserve"> </w:t>
      </w:r>
      <w:r w:rsidR="00C352E1">
        <w:t>FttE,</w:t>
      </w:r>
      <w:r>
        <w:t xml:space="preserve"> le département </w:t>
      </w:r>
      <w:r w:rsidR="00C352E1">
        <w:t>indique avoir</w:t>
      </w:r>
      <w:r>
        <w:t xml:space="preserve"> anticipé la question en faisant une enquête auprès d’entreprises. Il en ressort que </w:t>
      </w:r>
      <w:r w:rsidR="00CB26B0">
        <w:t>très peu d’</w:t>
      </w:r>
      <w:r>
        <w:t>entreprises savent estimer leurs besoins</w:t>
      </w:r>
      <w:r w:rsidR="009E56F8">
        <w:t>.</w:t>
      </w:r>
    </w:p>
    <w:p w:rsidR="009E56F8" w:rsidRDefault="009E56F8" w:rsidP="00343634">
      <w:r>
        <w:t xml:space="preserve">Pour ce qui est de l’architecture réseau du FttE, le département va bientôt entamer la </w:t>
      </w:r>
      <w:r w:rsidR="00CB26B0">
        <w:t xml:space="preserve">conception et la </w:t>
      </w:r>
      <w:r>
        <w:t xml:space="preserve">construction </w:t>
      </w:r>
      <w:r w:rsidR="00CB26B0">
        <w:t xml:space="preserve">de son réseau </w:t>
      </w:r>
      <w:r w:rsidR="00AD306B">
        <w:t xml:space="preserve">et souhaiterait avoir davantage de visibilité sur le calendrier de publication des recommandations, notamment </w:t>
      </w:r>
      <w:r>
        <w:t>en terme</w:t>
      </w:r>
      <w:r w:rsidR="00AD306B">
        <w:t>s</w:t>
      </w:r>
      <w:r>
        <w:t xml:space="preserve"> d’</w:t>
      </w:r>
      <w:r w:rsidR="00AD306B">
        <w:t>interopérabilité.</w:t>
      </w:r>
    </w:p>
    <w:p w:rsidR="009E56F8" w:rsidRDefault="009E56F8" w:rsidP="00343634"/>
    <w:p w:rsidR="009E56F8" w:rsidRDefault="0076439F" w:rsidP="00343634">
      <w:r>
        <w:t>Les services de l’Arcep</w:t>
      </w:r>
      <w:r w:rsidR="009E2656">
        <w:t xml:space="preserve"> </w:t>
      </w:r>
      <w:r w:rsidR="002D6F5B">
        <w:t>indique</w:t>
      </w:r>
      <w:r>
        <w:t>nt</w:t>
      </w:r>
      <w:r w:rsidR="002D6F5B">
        <w:t xml:space="preserve"> </w:t>
      </w:r>
      <w:r>
        <w:t xml:space="preserve">leur </w:t>
      </w:r>
      <w:r w:rsidR="002D6F5B">
        <w:t xml:space="preserve">volonté de clarifier cette situation au plus vite et </w:t>
      </w:r>
      <w:r>
        <w:t xml:space="preserve">viser </w:t>
      </w:r>
      <w:r w:rsidR="002D6F5B">
        <w:t>sortir</w:t>
      </w:r>
      <w:r w:rsidR="009E56F8">
        <w:t xml:space="preserve"> la recomm</w:t>
      </w:r>
      <w:r w:rsidR="002D6F5B">
        <w:t>a</w:t>
      </w:r>
      <w:r w:rsidR="009E56F8">
        <w:t xml:space="preserve">ndation </w:t>
      </w:r>
      <w:r w:rsidR="002D6F5B">
        <w:t>début 2017. Actuellement,</w:t>
      </w:r>
      <w:r w:rsidR="009E56F8">
        <w:t xml:space="preserve"> </w:t>
      </w:r>
      <w:r w:rsidR="002D6F5B">
        <w:t>deux</w:t>
      </w:r>
      <w:r w:rsidR="009E56F8">
        <w:t xml:space="preserve"> architectures </w:t>
      </w:r>
      <w:r w:rsidR="002D6F5B">
        <w:t>sont évoquées</w:t>
      </w:r>
      <w:r w:rsidR="009E56F8">
        <w:t xml:space="preserve"> dans le cadre des discussions du comité d’experts fibre</w:t>
      </w:r>
      <w:r w:rsidR="00BC5AAA">
        <w:t> :</w:t>
      </w:r>
      <w:r w:rsidR="009E56F8">
        <w:t xml:space="preserve"> </w:t>
      </w:r>
      <w:r w:rsidR="002D6F5B">
        <w:t>une première s’inscrivant</w:t>
      </w:r>
      <w:r w:rsidR="009E56F8">
        <w:t xml:space="preserve"> pleinement dans la BLOM et une autre </w:t>
      </w:r>
      <w:r w:rsidR="002D6F5B">
        <w:t>visant davantage</w:t>
      </w:r>
      <w:r w:rsidR="009E56F8">
        <w:t xml:space="preserve"> </w:t>
      </w:r>
      <w:r w:rsidR="002D6F5B">
        <w:t>une</w:t>
      </w:r>
      <w:r w:rsidR="009E56F8">
        <w:t xml:space="preserve"> synergie.</w:t>
      </w:r>
    </w:p>
    <w:p w:rsidR="002D6F5B" w:rsidRDefault="002D6F5B" w:rsidP="00343634"/>
    <w:p w:rsidR="002D6F5B" w:rsidRDefault="002D6F5B" w:rsidP="00343634">
      <w:r w:rsidRPr="002D6F5B">
        <w:rPr>
          <w:b/>
        </w:rPr>
        <w:t>Mayenne THD</w:t>
      </w:r>
      <w:r>
        <w:t xml:space="preserve"> sur le FttE, indique avoir rencontré plusieurs entreprises et </w:t>
      </w:r>
      <w:r w:rsidR="00BC5AAA">
        <w:t xml:space="preserve">ne pas avoir </w:t>
      </w:r>
      <w:r>
        <w:t>senti d’appétence particulière de leur part, quelle que soit leur taille, sur les aspects télécoms. En termes de marchés, ils souhaitent trouver une réponse à leurs besoins sans parvenir pour autant à les définir. Les entreprises regardent surtout les aspects services et coûts. Ainsi</w:t>
      </w:r>
      <w:r w:rsidR="00BC5AAA">
        <w:t>,</w:t>
      </w:r>
      <w:r>
        <w:t xml:space="preserve"> pour beaucoup d’entreprises, de petites tailles en particulier, une offre FttH grand public apparait comme suffisante. Le syndicat mixte s’interroge donc sur l’existence d’une demande d’offres FttE voire même parfois d’un besoin de recourir à de la BLOD s’agissant en particulier des coûts que cela peut représenter.</w:t>
      </w:r>
    </w:p>
    <w:p w:rsidR="00BC5AAA" w:rsidRDefault="00BC5AAA" w:rsidP="00343634"/>
    <w:p w:rsidR="006119AD" w:rsidRDefault="006119AD" w:rsidP="00343634">
      <w:r>
        <w:t xml:space="preserve">Pour </w:t>
      </w:r>
      <w:r w:rsidRPr="006119AD">
        <w:rPr>
          <w:b/>
        </w:rPr>
        <w:t>Seine-et-Marne numérique</w:t>
      </w:r>
      <w:r>
        <w:t xml:space="preserve"> si les entreprises ne mesurent pas immédiatement l’intérêt de recourir à la fibre, cette position peut changer très rapidement pour des questions liées notamment aux évolutions de leurs activités et devenir urgente, il est donc nécessaire d’anticiper au moins l’aspect infrastructure.</w:t>
      </w:r>
    </w:p>
    <w:p w:rsidR="006119AD" w:rsidRDefault="006119AD" w:rsidP="00343634"/>
    <w:p w:rsidR="00ED07E8" w:rsidRDefault="006119AD" w:rsidP="00343634">
      <w:r w:rsidRPr="00E50EEF">
        <w:rPr>
          <w:b/>
        </w:rPr>
        <w:t>Doubs THD</w:t>
      </w:r>
      <w:r>
        <w:t xml:space="preserve"> </w:t>
      </w:r>
      <w:r w:rsidR="00E50EEF">
        <w:t>indique être</w:t>
      </w:r>
      <w:r>
        <w:t xml:space="preserve"> sur un modèle activé avec un opérateur non intégré</w:t>
      </w:r>
      <w:r w:rsidR="00E50EEF">
        <w:t xml:space="preserve">, qu’il estime comme étant </w:t>
      </w:r>
      <w:r w:rsidR="001A0191">
        <w:t xml:space="preserve">la seule voie pour bénéficier de recettes commerciales et notamment </w:t>
      </w:r>
      <w:r w:rsidR="00E50EEF">
        <w:t>pour</w:t>
      </w:r>
      <w:r w:rsidR="001A0191">
        <w:t xml:space="preserve"> faire basculer la stratégie des OCEN. Le syndicat</w:t>
      </w:r>
      <w:r w:rsidR="009E2656">
        <w:t xml:space="preserve"> </w:t>
      </w:r>
      <w:r w:rsidR="001A0191">
        <w:t>mixte constate que la population et les acteurs économiques attendent un réseau très haut débit mais surtout des services, ils sont indifférents quant à savoir s’il a été construit par un acteur public ou privé.</w:t>
      </w:r>
    </w:p>
    <w:p w:rsidR="00E50EEF" w:rsidRDefault="001A0191" w:rsidP="00343634">
      <w:r>
        <w:t xml:space="preserve">Sur le FttE, Doubs THD rejoint les positions précédentes et indique que les entreprises sont très sensibles à l’émergence d’acteurs locaux. En effet, </w:t>
      </w:r>
      <w:r w:rsidR="00EF7746">
        <w:t xml:space="preserve">il existe </w:t>
      </w:r>
      <w:r>
        <w:t xml:space="preserve">sur son territoire un écosystème d’opérateurs locaux </w:t>
      </w:r>
      <w:r w:rsidR="00EF7746">
        <w:t>pour</w:t>
      </w:r>
      <w:r>
        <w:t xml:space="preserve"> </w:t>
      </w:r>
      <w:r w:rsidR="0075283B">
        <w:t xml:space="preserve">le </w:t>
      </w:r>
      <w:r>
        <w:lastRenderedPageBreak/>
        <w:t xml:space="preserve">secteur professionnel qui peut </w:t>
      </w:r>
      <w:r w:rsidR="00EF7746">
        <w:t>desservir</w:t>
      </w:r>
      <w:r>
        <w:t xml:space="preserve"> des clients grâce au RIP,</w:t>
      </w:r>
      <w:r w:rsidR="0075283B">
        <w:t xml:space="preserve"> sans ces acteurs cela supposerait</w:t>
      </w:r>
      <w:r>
        <w:t xml:space="preserve"> de recourir à des offres de gros CE2O/CELAN qui sont inabordables</w:t>
      </w:r>
      <w:r w:rsidR="00E50EEF">
        <w:t xml:space="preserve"> pour certaines entreprises</w:t>
      </w:r>
      <w:r w:rsidR="0075283B">
        <w:t xml:space="preserve">. </w:t>
      </w:r>
    </w:p>
    <w:p w:rsidR="0075283B" w:rsidRDefault="0075283B" w:rsidP="00343634">
      <w:r>
        <w:t xml:space="preserve">Sur le FttE, </w:t>
      </w:r>
      <w:r w:rsidR="00E50EEF">
        <w:t>Doubs THD estime</w:t>
      </w:r>
      <w:r>
        <w:t xml:space="preserve"> qu’il ne faut pas imposer une architecture </w:t>
      </w:r>
      <w:r w:rsidR="00BC5AAA">
        <w:t>au risque d’emporter</w:t>
      </w:r>
      <w:r>
        <w:t xml:space="preserve"> des conséquences importantes sur un réseau déjà déployé</w:t>
      </w:r>
      <w:r w:rsidR="00BC5AAA">
        <w:t>. Selon eux,</w:t>
      </w:r>
      <w:r w:rsidR="00E50EEF">
        <w:t xml:space="preserve"> la capacité à aller adresser des entreprises avec des offres fibres ne reposent pas sur des questions d’architecture mais sur la capacité du marché à proposer le service adéquate au besoin de l’entreprise.</w:t>
      </w:r>
    </w:p>
    <w:p w:rsidR="00ED07E8" w:rsidRDefault="00ED07E8" w:rsidP="00343634"/>
    <w:p w:rsidR="008263D2" w:rsidRDefault="008263D2" w:rsidP="00343634">
      <w:r>
        <w:t>L’</w:t>
      </w:r>
      <w:r w:rsidR="00783680" w:rsidRPr="002D728F">
        <w:rPr>
          <w:b/>
        </w:rPr>
        <w:t>AVICCA</w:t>
      </w:r>
      <w:r w:rsidR="00783680">
        <w:t xml:space="preserve"> souhaite mettre l’accent </w:t>
      </w:r>
      <w:r>
        <w:t xml:space="preserve">sur </w:t>
      </w:r>
      <w:r w:rsidR="00783680">
        <w:t>le taux de mutualisation</w:t>
      </w:r>
      <w:r>
        <w:t xml:space="preserve"> et indique la</w:t>
      </w:r>
      <w:r w:rsidR="00783680">
        <w:t xml:space="preserve"> nécessité d’un observatoire plus précis notamment vis-à-vis des opérateurs intégrés. </w:t>
      </w:r>
    </w:p>
    <w:p w:rsidR="00783680" w:rsidRDefault="00783680" w:rsidP="00343634">
      <w:r>
        <w:t>Sur la partie des offres activé</w:t>
      </w:r>
      <w:r w:rsidR="008263D2">
        <w:t>e</w:t>
      </w:r>
      <w:r>
        <w:t>s</w:t>
      </w:r>
      <w:r w:rsidR="008263D2">
        <w:t>, l’AVICCA</w:t>
      </w:r>
      <w:r w:rsidR="004405EB">
        <w:t xml:space="preserve"> estime qu’</w:t>
      </w:r>
      <w:r w:rsidR="008263D2">
        <w:t xml:space="preserve">il faut parvenir à anticiper certains travaux en particulier </w:t>
      </w:r>
      <w:r w:rsidR="002D728F">
        <w:t>sur des questions</w:t>
      </w:r>
      <w:r w:rsidR="008263D2">
        <w:t xml:space="preserve"> d</w:t>
      </w:r>
      <w:r w:rsidR="002D728F">
        <w:t>e mutualisation</w:t>
      </w:r>
      <w:r w:rsidR="008263D2">
        <w:t xml:space="preserve"> ou d’</w:t>
      </w:r>
      <w:r w:rsidR="002D728F">
        <w:t>homogénéisation et ainsi éviter de nouveaux délais en cas de problèmes.</w:t>
      </w:r>
    </w:p>
    <w:p w:rsidR="008263D2" w:rsidRDefault="004405EB" w:rsidP="00343634">
      <w:r>
        <w:t xml:space="preserve">Concernant l’ingénierie des réseaux </w:t>
      </w:r>
      <w:r w:rsidR="008263D2">
        <w:t xml:space="preserve">FttE, le comité d’experts </w:t>
      </w:r>
      <w:r w:rsidR="002D728F">
        <w:t>appui</w:t>
      </w:r>
      <w:r>
        <w:t>e</w:t>
      </w:r>
      <w:r w:rsidR="002D728F">
        <w:t xml:space="preserve"> la nécessité</w:t>
      </w:r>
      <w:r w:rsidR="008263D2">
        <w:t xml:space="preserve"> </w:t>
      </w:r>
      <w:r w:rsidR="002D728F">
        <w:t>d’échanges</w:t>
      </w:r>
      <w:r w:rsidR="008263D2">
        <w:t xml:space="preserve"> avec les différents acteurs pour </w:t>
      </w:r>
      <w:r w:rsidR="002D728F">
        <w:t xml:space="preserve">parvenir à </w:t>
      </w:r>
      <w:r w:rsidR="008263D2">
        <w:t xml:space="preserve">une architecture minimale. L’idée </w:t>
      </w:r>
      <w:r w:rsidR="002D728F">
        <w:t>étant qu’une collectivité ne se voit pas imposer une modification de son architecture</w:t>
      </w:r>
      <w:r w:rsidR="008263D2">
        <w:t xml:space="preserve"> </w:t>
      </w:r>
      <w:r w:rsidR="002D728F">
        <w:t>par</w:t>
      </w:r>
      <w:r w:rsidR="008263D2">
        <w:t xml:space="preserve"> un opérateur.</w:t>
      </w:r>
    </w:p>
    <w:p w:rsidR="002D728F" w:rsidRDefault="002D728F" w:rsidP="00343634"/>
    <w:p w:rsidR="00D22471" w:rsidRDefault="002D728F" w:rsidP="00343634">
      <w:r w:rsidRPr="00D22471">
        <w:rPr>
          <w:b/>
        </w:rPr>
        <w:t>Mégalis Bretagne</w:t>
      </w:r>
      <w:r>
        <w:t xml:space="preserve"> indique, concernant la commercialisation, être sur un schéma de fibres passives. L’architecture est conforme à </w:t>
      </w:r>
      <w:r w:rsidR="001D1206">
        <w:t xml:space="preserve">celle préconisée </w:t>
      </w:r>
      <w:r w:rsidR="00D22471">
        <w:t>leur</w:t>
      </w:r>
      <w:r>
        <w:t xml:space="preserve"> fermier, THD Bretagne filiale d’Orange, </w:t>
      </w:r>
      <w:r w:rsidR="00D22471">
        <w:t>l’</w:t>
      </w:r>
      <w:r>
        <w:t>architecture</w:t>
      </w:r>
      <w:r w:rsidR="00D22471">
        <w:t xml:space="preserve"> est donc </w:t>
      </w:r>
      <w:r w:rsidR="004405EB">
        <w:t xml:space="preserve">très proche de celles des zones </w:t>
      </w:r>
      <w:r>
        <w:t xml:space="preserve">AMII Orange, il en va de même </w:t>
      </w:r>
      <w:r w:rsidR="00E50EF8">
        <w:t>pour</w:t>
      </w:r>
      <w:r>
        <w:t xml:space="preserve"> les tarifs qui sont assez homogènes.</w:t>
      </w:r>
      <w:r w:rsidR="00E50EF8">
        <w:t xml:space="preserve"> Malgré leurs craintes, un co-financeur est bien présent sur le projet, par ailleurs le syndicat mixte indique avoir été vigilent sur le fait que tous les PM soient activés. </w:t>
      </w:r>
    </w:p>
    <w:p w:rsidR="002D728F" w:rsidRDefault="00E50EF8" w:rsidP="00343634">
      <w:r>
        <w:t>Sur le dynamisme commercial, le</w:t>
      </w:r>
      <w:r w:rsidR="004405EB">
        <w:t>ur</w:t>
      </w:r>
      <w:r>
        <w:t xml:space="preserve"> fermier estime qu’il n’y aura qu’</w:t>
      </w:r>
      <w:r w:rsidR="00D22471">
        <w:t>un seul FAI pendant quatre</w:t>
      </w:r>
      <w:r>
        <w:t xml:space="preserve"> ans, le syndicat mixte s’interroge donc sur les moyens </w:t>
      </w:r>
      <w:r w:rsidR="00D22471">
        <w:t xml:space="preserve">permettant </w:t>
      </w:r>
      <w:r>
        <w:t>d’inciter la venue des autres opérateurs</w:t>
      </w:r>
      <w:r w:rsidR="004405EB">
        <w:t>,</w:t>
      </w:r>
      <w:r>
        <w:t xml:space="preserve"> malgré des retours plutôt positifs de ces derniers. Mégalis Bretagne reste également vigil</w:t>
      </w:r>
      <w:r w:rsidR="001D1206">
        <w:t>a</w:t>
      </w:r>
      <w:r>
        <w:t>nt à ce que le délégataire n’envoie pas systématiquement vers son co-financeur lors des ouvertures commerciales</w:t>
      </w:r>
      <w:r w:rsidR="00D22471">
        <w:t xml:space="preserve"> et souhaite veiller</w:t>
      </w:r>
      <w:r>
        <w:t xml:space="preserve"> à ce que les </w:t>
      </w:r>
      <w:r w:rsidR="009E2656">
        <w:t xml:space="preserve">utilisateurs finals </w:t>
      </w:r>
      <w:r>
        <w:t xml:space="preserve">puissent demander à être raccordés par d’autres </w:t>
      </w:r>
      <w:r w:rsidR="004405EB">
        <w:t>FAI</w:t>
      </w:r>
      <w:r>
        <w:t xml:space="preserve"> </w:t>
      </w:r>
      <w:r w:rsidR="009C7AC8">
        <w:t>qui seront ainsi peut-être incités à venir</w:t>
      </w:r>
      <w:r w:rsidR="004405EB">
        <w:t>,</w:t>
      </w:r>
      <w:r w:rsidR="009C7AC8">
        <w:t xml:space="preserve"> face à la demande des clients.</w:t>
      </w:r>
    </w:p>
    <w:p w:rsidR="00D22471" w:rsidRDefault="009C7AC8" w:rsidP="00343634">
      <w:r>
        <w:t>Sur la partie FttE, Mégalis Bretagne lance une expérimentation sur la base d’une offre</w:t>
      </w:r>
      <w:r w:rsidR="004405EB">
        <w:t xml:space="preserve"> passive</w:t>
      </w:r>
      <w:r>
        <w:t xml:space="preserve">, l’objectif est de voir les tarifs de détails qui émergeraient </w:t>
      </w:r>
      <w:r w:rsidR="004405EB">
        <w:t>d’une telle offre</w:t>
      </w:r>
      <w:r>
        <w:t xml:space="preserve">. </w:t>
      </w:r>
      <w:r w:rsidR="004405EB">
        <w:t>L</w:t>
      </w:r>
      <w:r>
        <w:t>e syndicat mixte est donc dans l’attente des retours de cette expérimentation</w:t>
      </w:r>
      <w:r w:rsidR="004405EB">
        <w:t xml:space="preserve"> pour évaluer la nécessité d’une offre activée</w:t>
      </w:r>
      <w:r>
        <w:t xml:space="preserve">. </w:t>
      </w:r>
      <w:r w:rsidR="004405EB">
        <w:t>Pour ce qui est de l</w:t>
      </w:r>
      <w:r>
        <w:t>’ingénierie</w:t>
      </w:r>
      <w:r w:rsidR="00D22471">
        <w:t>, celle-ci</w:t>
      </w:r>
      <w:r>
        <w:t xml:space="preserve"> </w:t>
      </w:r>
      <w:r w:rsidR="00D22471">
        <w:t>a été</w:t>
      </w:r>
      <w:r>
        <w:t xml:space="preserve"> calquée sur celle préconisée par Orange</w:t>
      </w:r>
      <w:r w:rsidR="004405EB">
        <w:t>. A</w:t>
      </w:r>
      <w:r w:rsidR="00D22471">
        <w:t>insi</w:t>
      </w:r>
      <w:r w:rsidR="004405EB">
        <w:t>,</w:t>
      </w:r>
      <w:r>
        <w:t xml:space="preserve"> sur les zones de déploiements FttH, la capacité est mise en place mais les PRE ne sont pas encore positionnés</w:t>
      </w:r>
      <w:r w:rsidR="00D22471">
        <w:t>. En effet, Mégalis Bretagne</w:t>
      </w:r>
      <w:r>
        <w:t xml:space="preserve"> </w:t>
      </w:r>
      <w:r w:rsidR="00D22471">
        <w:t>n’est pas certain</w:t>
      </w:r>
      <w:r>
        <w:t xml:space="preserve"> de la maturité du marché ni que les entreprises y auront recours à court terme</w:t>
      </w:r>
      <w:r w:rsidR="004405EB">
        <w:t>. Par ailleurs, le syndicat mixte</w:t>
      </w:r>
      <w:r>
        <w:t xml:space="preserve"> ne parvient pas à déterminer leur emplacement</w:t>
      </w:r>
      <w:r w:rsidR="00D22471">
        <w:t xml:space="preserve">, </w:t>
      </w:r>
      <w:r w:rsidR="004405EB">
        <w:t>il</w:t>
      </w:r>
      <w:r w:rsidR="00D22471">
        <w:t xml:space="preserve"> reste donc dans l’attente des recommandations. Dans le cadre de cette expérimentation, la volonté est surtout pour le moment de raccorder des sites prioritaires au travers de BLOM anticipées et ainsi de répondre à la demande politique tout en prenant en compte le positionnement tarifaire</w:t>
      </w:r>
      <w:r w:rsidR="004405EB">
        <w:t>,</w:t>
      </w:r>
      <w:r w:rsidR="00D22471">
        <w:t xml:space="preserve"> en privilégiant des offres FttE plutôt que des offres FttH professionnelles.</w:t>
      </w:r>
    </w:p>
    <w:p w:rsidR="00D22471" w:rsidRDefault="00D22471" w:rsidP="00343634">
      <w:r>
        <w:t>Sur la partie usages innovants et raccordements des objets connectés, même si Mégalis Bretagne a prévu de la capacité supplémentaire sur les liens NRO-PM sur les recommandations techniques de la M</w:t>
      </w:r>
      <w:r w:rsidR="004405EB">
        <w:t xml:space="preserve">ission </w:t>
      </w:r>
      <w:r>
        <w:t>THD, aucune capacité n’est pour le moment prévu sur l’aspect objets connectés bien que cela fasse partie des points à traiter. Cependant, lors des études sur la partie distribution et transports il n’a pas été relevé d’objets techniques à connecter sur les différentes plaques.</w:t>
      </w:r>
    </w:p>
    <w:p w:rsidR="00A41803" w:rsidRDefault="00A41803" w:rsidP="00343634"/>
    <w:p w:rsidR="00296A21" w:rsidRDefault="004405EB" w:rsidP="00343634">
      <w:r>
        <w:t>L</w:t>
      </w:r>
      <w:r w:rsidR="00296A21">
        <w:t xml:space="preserve">e </w:t>
      </w:r>
      <w:r w:rsidR="00296A21" w:rsidRPr="005C0347">
        <w:rPr>
          <w:b/>
        </w:rPr>
        <w:t>CEREMA Ouest</w:t>
      </w:r>
      <w:r>
        <w:t xml:space="preserve"> estime qu’</w:t>
      </w:r>
      <w:r w:rsidR="00352E58">
        <w:t xml:space="preserve">il </w:t>
      </w:r>
      <w:r w:rsidR="005C0347">
        <w:t>pourrait être opportun de</w:t>
      </w:r>
      <w:r w:rsidR="00352E58">
        <w:t xml:space="preserve"> recourir à une régulation asymétrique </w:t>
      </w:r>
      <w:r>
        <w:t xml:space="preserve">sur l’offre activée </w:t>
      </w:r>
      <w:r w:rsidR="00352E58">
        <w:t xml:space="preserve">afin de dynamiser le marché, comme cela a été le cas aux débuts de l’ADSL, sur des offres grand public ou FttE. </w:t>
      </w:r>
    </w:p>
    <w:p w:rsidR="00352E58" w:rsidRDefault="00352E58" w:rsidP="00343634">
      <w:r>
        <w:t>Aujourd’hui, il reste un espace économique important entre le FttH et le FttO, qui reste relativement cher, il pourrait également être opportun</w:t>
      </w:r>
      <w:r w:rsidR="005C0347">
        <w:t>,</w:t>
      </w:r>
      <w:r>
        <w:t xml:space="preserve"> selon le CEREMA</w:t>
      </w:r>
      <w:r w:rsidR="005C0347">
        <w:t>,</w:t>
      </w:r>
      <w:r>
        <w:t xml:space="preserve"> d’étendre la ZF1 tout en prenant en compte les RIP vivant principalement du FttO.</w:t>
      </w:r>
    </w:p>
    <w:p w:rsidR="00352E58" w:rsidRDefault="00352E58" w:rsidP="00343634">
      <w:r>
        <w:t>Un sujet pourrait également être examiné dans le cadre de l’entreprise : le « </w:t>
      </w:r>
      <w:r w:rsidRPr="008C1CAE">
        <w:rPr>
          <w:i/>
        </w:rPr>
        <w:t>quadruple-play</w:t>
      </w:r>
      <w:r>
        <w:t xml:space="preserve"> entreprise »</w:t>
      </w:r>
      <w:r w:rsidR="005C0347">
        <w:t xml:space="preserve">. Ce type d’offres existe pour le grand public mais la question de </w:t>
      </w:r>
      <w:r w:rsidR="004405EB">
        <w:t xml:space="preserve">la </w:t>
      </w:r>
      <w:r w:rsidR="005C0347">
        <w:t>« réplicabilité » de ce type d’offre pourrait également être envisagée dans les entreprises qui ont souvent la charge d’une flotte de téléphonie mobile.</w:t>
      </w:r>
    </w:p>
    <w:p w:rsidR="005C0347" w:rsidRDefault="005C0347" w:rsidP="00343634"/>
    <w:p w:rsidR="00323C4E" w:rsidRDefault="005C0347" w:rsidP="00BF64DD">
      <w:r>
        <w:t xml:space="preserve">Le </w:t>
      </w:r>
      <w:r w:rsidRPr="00BF64DD">
        <w:rPr>
          <w:b/>
        </w:rPr>
        <w:t>conseil départemental de Loire-Atlantique</w:t>
      </w:r>
      <w:r>
        <w:t xml:space="preserve"> indique</w:t>
      </w:r>
      <w:r w:rsidR="004405EB">
        <w:t>,</w:t>
      </w:r>
      <w:r>
        <w:t xml:space="preserve"> </w:t>
      </w:r>
      <w:r w:rsidR="00D627EE">
        <w:t xml:space="preserve">que </w:t>
      </w:r>
      <w:r w:rsidR="00BF64DD">
        <w:t>sur</w:t>
      </w:r>
      <w:r>
        <w:t xml:space="preserve"> le marché FttE, il </w:t>
      </w:r>
      <w:r w:rsidR="00BF64DD">
        <w:t>est nécessaire de prendre</w:t>
      </w:r>
      <w:r>
        <w:t xml:space="preserve"> en compte</w:t>
      </w:r>
      <w:r w:rsidR="00C329A7">
        <w:t> :</w:t>
      </w:r>
      <w:r>
        <w:t xml:space="preserve"> la dynamique concurrentielle entre les opérateurs nationaux et alternatifs, les besoins des entreprises qui ne sont pas forcément exprimés aujourd’hui et qui nécessite</w:t>
      </w:r>
      <w:r w:rsidR="003F1F1B">
        <w:t>nt</w:t>
      </w:r>
      <w:r>
        <w:t xml:space="preserve"> de mettre en place un accompagnement sur </w:t>
      </w:r>
      <w:r>
        <w:lastRenderedPageBreak/>
        <w:t>le diagnostic numérique</w:t>
      </w:r>
      <w:r w:rsidR="003F1F1B">
        <w:t xml:space="preserve"> (quelles infrastructures, quels opérateurs, quels besoins et quelles offres ?)</w:t>
      </w:r>
      <w:r>
        <w:t xml:space="preserve">, </w:t>
      </w:r>
      <w:r w:rsidR="00BF64DD">
        <w:t>mais aussi de s’assurer d’un</w:t>
      </w:r>
      <w:r>
        <w:t xml:space="preserve">e commercialisation </w:t>
      </w:r>
      <w:r w:rsidR="00BF64DD">
        <w:t xml:space="preserve">homogène </w:t>
      </w:r>
      <w:r>
        <w:t xml:space="preserve">sur l’ensemble des zones déployées. </w:t>
      </w:r>
    </w:p>
    <w:p w:rsidR="005C0347" w:rsidRDefault="005C0347" w:rsidP="00BF64DD">
      <w:r>
        <w:t xml:space="preserve">Concernant les infrastructures pour la BLOM et </w:t>
      </w:r>
      <w:r w:rsidR="008E7A5A">
        <w:t>l</w:t>
      </w:r>
      <w:r>
        <w:t xml:space="preserve">a BLOD, </w:t>
      </w:r>
      <w:r w:rsidR="00323C4E">
        <w:t>le département indique qu’il faut s’interroger sur la manière d’intégrer le déploiement de la fibre avec les raccordements de points hauts sur des zones où les opérateurs mobiles nationaux</w:t>
      </w:r>
      <w:r w:rsidR="00C329A7">
        <w:t xml:space="preserve"> ne sont pas forcément présents.</w:t>
      </w:r>
      <w:r w:rsidR="00323C4E">
        <w:t xml:space="preserve"> </w:t>
      </w:r>
      <w:r w:rsidR="00C329A7">
        <w:t>L</w:t>
      </w:r>
      <w:r w:rsidR="00BF64DD">
        <w:t xml:space="preserve">e sujet du réseau mobile </w:t>
      </w:r>
      <w:r w:rsidR="00C329A7">
        <w:t>est</w:t>
      </w:r>
      <w:r w:rsidR="00BF64DD">
        <w:t xml:space="preserve"> également</w:t>
      </w:r>
      <w:r>
        <w:t xml:space="preserve"> à prendre en compte face aux entreprises</w:t>
      </w:r>
      <w:r w:rsidR="00323C4E">
        <w:t xml:space="preserve">, </w:t>
      </w:r>
      <w:r w:rsidR="00BF64DD">
        <w:t xml:space="preserve">des évolutions </w:t>
      </w:r>
      <w:r w:rsidR="00323C4E">
        <w:t xml:space="preserve">sont par ailleurs </w:t>
      </w:r>
      <w:r w:rsidR="00BF64DD">
        <w:t>attendues sur des offres entreprises en l</w:t>
      </w:r>
      <w:r w:rsidR="00323C4E">
        <w:t>ien avec la 4G/LTE par exemple.</w:t>
      </w:r>
    </w:p>
    <w:p w:rsidR="00373D6C" w:rsidRDefault="00373D6C" w:rsidP="00BF64DD"/>
    <w:p w:rsidR="00373D6C" w:rsidRDefault="00373D6C" w:rsidP="00373D6C">
      <w:pPr>
        <w:pStyle w:val="Titre3"/>
      </w:pPr>
      <w:r>
        <w:t>Régulation asymétrique – Offre de gros d’Orange</w:t>
      </w:r>
    </w:p>
    <w:p w:rsidR="00373D6C" w:rsidRDefault="005C5DF0" w:rsidP="00373D6C">
      <w:r w:rsidRPr="005C5DF0">
        <w:t xml:space="preserve">Le </w:t>
      </w:r>
      <w:r w:rsidR="00373D6C" w:rsidRPr="001B65C8">
        <w:rPr>
          <w:b/>
        </w:rPr>
        <w:t>CEREMA Ouest</w:t>
      </w:r>
      <w:r w:rsidR="00373D6C">
        <w:t xml:space="preserve"> indique que selon lu</w:t>
      </w:r>
      <w:r>
        <w:t>i, décloisonner les usages du génie civil</w:t>
      </w:r>
      <w:r w:rsidR="00373D6C">
        <w:t xml:space="preserve"> apparait comme une excellente idée. </w:t>
      </w:r>
    </w:p>
    <w:p w:rsidR="00373D6C" w:rsidRDefault="00373D6C" w:rsidP="00373D6C">
      <w:r>
        <w:t>Sur le PRM grâce aux fichiers de l’Arcep et aux documents publiés tous les trimestres par Orange, le fichier PODI, il est possible d’estimer la progression de la construction et de la mise en service des PRM-</w:t>
      </w:r>
      <w:r w:rsidR="00BB7A6A">
        <w:t>ME</w:t>
      </w:r>
      <w:r>
        <w:t>D</w:t>
      </w:r>
      <w:r w:rsidR="00BB7A6A">
        <w:t xml:space="preserve">. Il en ressort, pour le CEREMA, qu’après un ralentissement, </w:t>
      </w:r>
      <w:r>
        <w:t xml:space="preserve">un redémarrage </w:t>
      </w:r>
      <w:r w:rsidR="00BB7A6A">
        <w:t xml:space="preserve">a été observé </w:t>
      </w:r>
      <w:r>
        <w:t xml:space="preserve">mais </w:t>
      </w:r>
      <w:r w:rsidR="00BB7A6A">
        <w:t>qu’une accélération va être nécessaire pour s’assurer que l’ensemble des</w:t>
      </w:r>
      <w:r>
        <w:t xml:space="preserve"> PRM-</w:t>
      </w:r>
      <w:r w:rsidR="005C5DF0">
        <w:t>MeD,</w:t>
      </w:r>
      <w:r>
        <w:t xml:space="preserve"> </w:t>
      </w:r>
      <w:r w:rsidR="00983D4A">
        <w:t>prévus</w:t>
      </w:r>
      <w:r>
        <w:t xml:space="preserve"> dans</w:t>
      </w:r>
      <w:r w:rsidR="00983D4A">
        <w:t xml:space="preserve"> le cadre des</w:t>
      </w:r>
      <w:r>
        <w:t xml:space="preserve"> dossiers FSN</w:t>
      </w:r>
      <w:r w:rsidR="005C5DF0">
        <w:t>,</w:t>
      </w:r>
      <w:r>
        <w:t xml:space="preserve"> </w:t>
      </w:r>
      <w:r w:rsidR="00983D4A">
        <w:t>soient</w:t>
      </w:r>
      <w:r>
        <w:t xml:space="preserve"> construits </w:t>
      </w:r>
      <w:r w:rsidR="00983D4A">
        <w:t>avant</w:t>
      </w:r>
      <w:r>
        <w:t xml:space="preserve"> 4 ou 5 ans</w:t>
      </w:r>
      <w:r w:rsidR="00983D4A">
        <w:t>.</w:t>
      </w:r>
    </w:p>
    <w:p w:rsidR="001B6583" w:rsidRDefault="00983D4A" w:rsidP="00373D6C">
      <w:r>
        <w:t xml:space="preserve">Le CEREMA souhaite également des éclaircissements concernant les infrastructures d’Orange et particulièrement s’agissant des NRA qui ont vocation à être maintenus ou non, ce </w:t>
      </w:r>
      <w:r w:rsidR="001B6583">
        <w:t xml:space="preserve">qui aura un impact sur les RIP surtout </w:t>
      </w:r>
      <w:r>
        <w:t>lorsqu’ils ont</w:t>
      </w:r>
      <w:r w:rsidR="001D1206">
        <w:t xml:space="preserve"> été</w:t>
      </w:r>
      <w:r>
        <w:t xml:space="preserve"> incités à s’installer dans les NRA.</w:t>
      </w:r>
    </w:p>
    <w:p w:rsidR="000C5C80" w:rsidRDefault="000C5C80" w:rsidP="00373D6C"/>
    <w:p w:rsidR="000C5C80" w:rsidRDefault="0076439F" w:rsidP="00373D6C">
      <w:r>
        <w:t>Les services de l’Arcep</w:t>
      </w:r>
      <w:r w:rsidR="000C5C80">
        <w:t xml:space="preserve"> répond</w:t>
      </w:r>
      <w:r>
        <w:t>ent</w:t>
      </w:r>
      <w:r w:rsidR="000C5C80">
        <w:t xml:space="preserve"> que cette question est abordée en multilatérales « hébergement NRO »</w:t>
      </w:r>
      <w:r w:rsidR="00983D4A">
        <w:t xml:space="preserve"> et qu’</w:t>
      </w:r>
      <w:r w:rsidR="000C5C80">
        <w:t>il existe un délai de prévenance en cas de fermeture d’un NRA. De plus, l’information est communiquée par Orange</w:t>
      </w:r>
      <w:r w:rsidR="00983D4A">
        <w:t>,</w:t>
      </w:r>
      <w:r w:rsidR="000C5C80">
        <w:t xml:space="preserve"> lors de la commande d’information préalable pour </w:t>
      </w:r>
      <w:r w:rsidR="005C5DF0">
        <w:t xml:space="preserve">le </w:t>
      </w:r>
      <w:r w:rsidR="000C5C80">
        <w:t>NRO</w:t>
      </w:r>
      <w:r w:rsidR="00983D4A">
        <w:t>,</w:t>
      </w:r>
      <w:r w:rsidR="000C5C80">
        <w:t xml:space="preserve"> </w:t>
      </w:r>
      <w:r w:rsidR="00983D4A">
        <w:t>qui i</w:t>
      </w:r>
      <w:r w:rsidR="000C5C80">
        <w:t xml:space="preserve">ndique </w:t>
      </w:r>
      <w:r w:rsidR="00983D4A">
        <w:t xml:space="preserve">également </w:t>
      </w:r>
      <w:r w:rsidR="000C5C80">
        <w:t>dans quelle catégorie se situent les NRA sur lesquels il répond</w:t>
      </w:r>
      <w:r w:rsidR="00BB7A6A">
        <w:t>.</w:t>
      </w:r>
    </w:p>
    <w:p w:rsidR="004D1680" w:rsidRDefault="004D1680" w:rsidP="00373D6C"/>
    <w:p w:rsidR="004D1680" w:rsidRDefault="004D1680" w:rsidP="00373D6C">
      <w:r w:rsidRPr="00D144A5">
        <w:rPr>
          <w:b/>
        </w:rPr>
        <w:t>Mégalis Bretagne</w:t>
      </w:r>
      <w:r>
        <w:t xml:space="preserve"> participe à l’expérimentation des NRO dans les NRA et </w:t>
      </w:r>
      <w:r w:rsidR="00497917">
        <w:t>indique</w:t>
      </w:r>
      <w:r>
        <w:t xml:space="preserve"> avoir les premiers retours, </w:t>
      </w:r>
      <w:r w:rsidR="005C5DF0">
        <w:t>exprimant</w:t>
      </w:r>
      <w:r>
        <w:t xml:space="preserve"> quelques difficultés</w:t>
      </w:r>
      <w:r w:rsidR="005C5DF0">
        <w:t>,</w:t>
      </w:r>
      <w:r>
        <w:t xml:space="preserve"> </w:t>
      </w:r>
      <w:r w:rsidR="00497917">
        <w:t>en particulier sur</w:t>
      </w:r>
      <w:r>
        <w:t xml:space="preserve"> la séparation du module d’hébergement des équipements et du module d’hébergement des RTO</w:t>
      </w:r>
      <w:r w:rsidR="005C5DF0">
        <w:t>. En effet,</w:t>
      </w:r>
      <w:r>
        <w:t xml:space="preserve"> le catalogue de services du fermier prévoit une offre</w:t>
      </w:r>
      <w:r w:rsidR="0032221A">
        <w:t xml:space="preserve"> </w:t>
      </w:r>
      <w:r>
        <w:t xml:space="preserve">d’hébergement de matériel </w:t>
      </w:r>
      <w:r w:rsidR="00497917">
        <w:t>qu’il</w:t>
      </w:r>
      <w:r>
        <w:t xml:space="preserve"> n’est pas en mesure d’appliquer par le biais de cette offre.</w:t>
      </w:r>
    </w:p>
    <w:p w:rsidR="004D1680" w:rsidRDefault="004D1680" w:rsidP="00373D6C">
      <w:r>
        <w:t>Sur la p</w:t>
      </w:r>
      <w:r w:rsidR="005C5DF0">
        <w:t>artie du génie civil</w:t>
      </w:r>
      <w:r>
        <w:t xml:space="preserve">, </w:t>
      </w:r>
      <w:r w:rsidR="00497917">
        <w:t xml:space="preserve">le syndicat mixte </w:t>
      </w:r>
      <w:r>
        <w:t>constate que lors des déploiements</w:t>
      </w:r>
      <w:r w:rsidR="005C5DF0">
        <w:t>,</w:t>
      </w:r>
      <w:r>
        <w:t xml:space="preserve"> il </w:t>
      </w:r>
      <w:r w:rsidR="00B345BC">
        <w:t>existe</w:t>
      </w:r>
      <w:r>
        <w:t xml:space="preserve"> une différence entre le PIT communal et le PIT départemental</w:t>
      </w:r>
      <w:r w:rsidR="00B345BC">
        <w:t>. En effet,</w:t>
      </w:r>
      <w:r>
        <w:t xml:space="preserve"> une partie des infrastructures n’appart</w:t>
      </w:r>
      <w:r w:rsidR="00B345BC">
        <w:t>ient</w:t>
      </w:r>
      <w:r>
        <w:t xml:space="preserve"> pas à Orange</w:t>
      </w:r>
      <w:r w:rsidR="00B345BC">
        <w:t xml:space="preserve">, ce qui oblige </w:t>
      </w:r>
      <w:r w:rsidR="005C5DF0">
        <w:t xml:space="preserve">le syndicat mixte </w:t>
      </w:r>
      <w:r>
        <w:t>à traiter avec plusieurs acteurs</w:t>
      </w:r>
      <w:r w:rsidR="005C5DF0">
        <w:t>,</w:t>
      </w:r>
      <w:r>
        <w:t xml:space="preserve"> dont des collectivités</w:t>
      </w:r>
      <w:r w:rsidR="00497917">
        <w:t xml:space="preserve"> qui délibèrent </w:t>
      </w:r>
      <w:r w:rsidR="00B345BC">
        <w:t>sur la mise</w:t>
      </w:r>
      <w:r w:rsidR="00497917">
        <w:t xml:space="preserve"> en place </w:t>
      </w:r>
      <w:r w:rsidR="008153A3">
        <w:t>d’</w:t>
      </w:r>
      <w:r w:rsidR="00497917">
        <w:t xml:space="preserve">une tarification. </w:t>
      </w:r>
      <w:r w:rsidR="005C5DF0">
        <w:t>Mégalis Bretagne</w:t>
      </w:r>
      <w:r w:rsidR="00497917">
        <w:t xml:space="preserve"> </w:t>
      </w:r>
      <w:r w:rsidR="00B345BC">
        <w:t>indique</w:t>
      </w:r>
      <w:r w:rsidR="00497917">
        <w:t xml:space="preserve"> qu’il existera donc une tarification forfaitaire de la part d’Orange </w:t>
      </w:r>
      <w:r w:rsidR="00B345BC">
        <w:t xml:space="preserve">et </w:t>
      </w:r>
      <w:r w:rsidR="00497917">
        <w:t xml:space="preserve">une tarification plus au détail par </w:t>
      </w:r>
      <w:r w:rsidR="00B345BC">
        <w:t>endroits</w:t>
      </w:r>
      <w:r w:rsidR="00497917">
        <w:t xml:space="preserve">, </w:t>
      </w:r>
      <w:r w:rsidR="00B345BC">
        <w:t>ce qui e</w:t>
      </w:r>
      <w:r w:rsidR="008153A3">
        <w:t>ntraîne</w:t>
      </w:r>
      <w:r w:rsidR="00B345BC">
        <w:t xml:space="preserve"> des inquiétudes</w:t>
      </w:r>
      <w:r w:rsidR="00497917">
        <w:t xml:space="preserve"> sur la tarification d</w:t>
      </w:r>
      <w:r w:rsidR="00B345BC">
        <w:t xml:space="preserve">es </w:t>
      </w:r>
      <w:r w:rsidR="00497917">
        <w:t>infra</w:t>
      </w:r>
      <w:r w:rsidR="00B345BC">
        <w:t>structures</w:t>
      </w:r>
      <w:r w:rsidR="00497917">
        <w:t xml:space="preserve"> dans les plans d’affaires.</w:t>
      </w:r>
    </w:p>
    <w:p w:rsidR="00497917" w:rsidRDefault="00497917" w:rsidP="00373D6C">
      <w:r>
        <w:t>Sur les offres, dans le cadre de la construction</w:t>
      </w:r>
      <w:r w:rsidR="005C5DF0">
        <w:t>,</w:t>
      </w:r>
      <w:r>
        <w:t xml:space="preserve"> </w:t>
      </w:r>
      <w:r w:rsidR="00416ECE">
        <w:t xml:space="preserve">Mégalis Bretagne </w:t>
      </w:r>
      <w:r w:rsidR="005C5DF0">
        <w:t>est en charge</w:t>
      </w:r>
      <w:r w:rsidR="00416ECE">
        <w:t xml:space="preserve"> </w:t>
      </w:r>
      <w:r>
        <w:t xml:space="preserve">des commandes d’accès via </w:t>
      </w:r>
      <w:r w:rsidR="00416ECE">
        <w:t xml:space="preserve">le </w:t>
      </w:r>
      <w:r>
        <w:t>marché de travaux</w:t>
      </w:r>
      <w:r w:rsidR="005C5DF0">
        <w:t xml:space="preserve">, </w:t>
      </w:r>
      <w:r w:rsidR="001001DA">
        <w:t>la charge</w:t>
      </w:r>
      <w:r w:rsidR="005C5DF0">
        <w:t xml:space="preserve"> des récurrents revenant</w:t>
      </w:r>
      <w:r>
        <w:t xml:space="preserve"> </w:t>
      </w:r>
      <w:r w:rsidR="005C5DF0">
        <w:t>à</w:t>
      </w:r>
      <w:r>
        <w:t xml:space="preserve"> leur fermier</w:t>
      </w:r>
      <w:r w:rsidR="00416ECE">
        <w:t>. Le syndicat mixte indique chercher</w:t>
      </w:r>
      <w:r>
        <w:t xml:space="preserve"> actuellement la modalité pratique </w:t>
      </w:r>
      <w:r w:rsidR="00416ECE">
        <w:t>pour permettre</w:t>
      </w:r>
      <w:r>
        <w:t xml:space="preserve"> </w:t>
      </w:r>
      <w:r w:rsidR="00416ECE">
        <w:t>son paiement des frais d’accès d’une part</w:t>
      </w:r>
      <w:r w:rsidR="005C5DF0">
        <w:t>,</w:t>
      </w:r>
      <w:r w:rsidR="00416ECE">
        <w:t xml:space="preserve"> et le paiement des récurrents par son fermier d’autre part</w:t>
      </w:r>
      <w:r>
        <w:t xml:space="preserve">. </w:t>
      </w:r>
      <w:r w:rsidR="00416ECE">
        <w:t xml:space="preserve">La solution qui leur est actuellement </w:t>
      </w:r>
      <w:r>
        <w:t>proposé</w:t>
      </w:r>
      <w:r w:rsidR="00416ECE">
        <w:t>e</w:t>
      </w:r>
      <w:r>
        <w:t xml:space="preserve"> </w:t>
      </w:r>
      <w:r w:rsidR="00416ECE">
        <w:t>est de mettre</w:t>
      </w:r>
      <w:r>
        <w:t xml:space="preserve"> en place deux contrats et </w:t>
      </w:r>
      <w:r w:rsidR="00416ECE">
        <w:t>d’opérer des</w:t>
      </w:r>
      <w:r>
        <w:t xml:space="preserve"> transferts de parcs avec une tarification </w:t>
      </w:r>
      <w:r w:rsidR="00D144A5">
        <w:t xml:space="preserve">qui leur est aujourd’hui </w:t>
      </w:r>
      <w:r>
        <w:t>inconnue</w:t>
      </w:r>
      <w:r w:rsidR="00A624E5">
        <w:t>.</w:t>
      </w:r>
    </w:p>
    <w:p w:rsidR="00F854B2" w:rsidRDefault="00F854B2" w:rsidP="00373D6C"/>
    <w:p w:rsidR="00F854B2" w:rsidRDefault="00116E6D" w:rsidP="00373D6C">
      <w:r>
        <w:t>L’</w:t>
      </w:r>
      <w:r w:rsidR="00F854B2" w:rsidRPr="00116E6D">
        <w:rPr>
          <w:b/>
        </w:rPr>
        <w:t>AVICCA</w:t>
      </w:r>
      <w:r w:rsidR="00F854B2">
        <w:t xml:space="preserve"> </w:t>
      </w:r>
      <w:r>
        <w:t xml:space="preserve">signale </w:t>
      </w:r>
      <w:r w:rsidR="00F854B2">
        <w:t>a</w:t>
      </w:r>
      <w:r>
        <w:t>voir</w:t>
      </w:r>
      <w:r w:rsidR="00F854B2">
        <w:t xml:space="preserve"> de nombreuses remontées concernant </w:t>
      </w:r>
      <w:r w:rsidR="00AD4C35">
        <w:t>d</w:t>
      </w:r>
      <w:r w:rsidR="00BF4816">
        <w:t xml:space="preserve">es problématiques </w:t>
      </w:r>
      <w:r w:rsidR="00F854B2">
        <w:t>opérationnel</w:t>
      </w:r>
      <w:r w:rsidR="00AD4C35">
        <w:t>les</w:t>
      </w:r>
      <w:r w:rsidR="00F854B2">
        <w:t xml:space="preserve"> sur le terrain qui représente</w:t>
      </w:r>
      <w:r w:rsidR="00BF4816">
        <w:t>nt</w:t>
      </w:r>
      <w:r w:rsidR="00F854B2">
        <w:t xml:space="preserve"> des risques importants sur le déploiement des RIP</w:t>
      </w:r>
      <w:r w:rsidR="00AD4C35">
        <w:t>,</w:t>
      </w:r>
      <w:r w:rsidR="00F854B2">
        <w:t xml:space="preserve"> </w:t>
      </w:r>
      <w:r w:rsidR="00BF4816">
        <w:t>notamment</w:t>
      </w:r>
      <w:r w:rsidR="00F854B2">
        <w:t xml:space="preserve"> d’un point de vue tarifaire.</w:t>
      </w:r>
      <w:r w:rsidR="00BF4816">
        <w:t xml:space="preserve"> Elle indique que, d</w:t>
      </w:r>
      <w:r w:rsidR="00F854B2">
        <w:t>e manière générale</w:t>
      </w:r>
      <w:r w:rsidR="00BF4816">
        <w:t>,</w:t>
      </w:r>
      <w:r w:rsidR="00F854B2">
        <w:t xml:space="preserve"> ces offres sont inadaptées aux collectivités.</w:t>
      </w:r>
    </w:p>
    <w:p w:rsidR="00F854B2" w:rsidRDefault="00BF4816" w:rsidP="00373D6C">
      <w:r>
        <w:t xml:space="preserve">L’AVICCA confirme qu’il existe une </w:t>
      </w:r>
      <w:r w:rsidR="00F854B2">
        <w:t xml:space="preserve">problématique </w:t>
      </w:r>
      <w:r>
        <w:t xml:space="preserve">importante </w:t>
      </w:r>
      <w:r w:rsidR="00F854B2">
        <w:t>sur le transfert des contrats</w:t>
      </w:r>
      <w:r>
        <w:t>,</w:t>
      </w:r>
      <w:r w:rsidR="00F854B2">
        <w:t xml:space="preserve"> en particulier sur la question des frais récurrents que les collectivités doivent payer.</w:t>
      </w:r>
    </w:p>
    <w:p w:rsidR="00376BF0" w:rsidRDefault="00BF4816" w:rsidP="00373D6C">
      <w:r>
        <w:t>Parmi les pistes d’amélioration, l’association indique la n</w:t>
      </w:r>
      <w:r w:rsidR="00F854B2">
        <w:t>écessité d’une amélioration de l’accessibilité des offres pour les collectivités</w:t>
      </w:r>
      <w:r>
        <w:t xml:space="preserve"> mais aussi </w:t>
      </w:r>
      <w:r w:rsidR="00376BF0">
        <w:t>de passer d’une logique d’usages à une logique de déploiements</w:t>
      </w:r>
      <w:r>
        <w:t>. Sur ce dernier point, elle propose</w:t>
      </w:r>
      <w:r w:rsidR="00116E6D">
        <w:t xml:space="preserve"> </w:t>
      </w:r>
      <w:r>
        <w:t>d’</w:t>
      </w:r>
      <w:r w:rsidR="00116E6D">
        <w:t xml:space="preserve">ouvrir </w:t>
      </w:r>
      <w:r>
        <w:t xml:space="preserve">davantage </w:t>
      </w:r>
      <w:r w:rsidR="00116E6D">
        <w:t xml:space="preserve">les usages et </w:t>
      </w:r>
      <w:r w:rsidR="00AD4C35">
        <w:t>de recourir</w:t>
      </w:r>
      <w:r>
        <w:t xml:space="preserve"> au règlement de différends au cas par cas quand un</w:t>
      </w:r>
      <w:r w:rsidR="00116E6D">
        <w:t xml:space="preserve"> usage apparait comme sortant du cadre</w:t>
      </w:r>
      <w:r>
        <w:t>.</w:t>
      </w:r>
    </w:p>
    <w:p w:rsidR="00116E6D" w:rsidRDefault="00BF4816" w:rsidP="00373D6C">
      <w:r>
        <w:t>L’AVICCA s’interroge également, dans le cadre de l’</w:t>
      </w:r>
      <w:r w:rsidR="00116E6D">
        <w:t>hébergement des NRO dans les NRA</w:t>
      </w:r>
      <w:r>
        <w:t>,</w:t>
      </w:r>
      <w:r w:rsidR="00116E6D">
        <w:t xml:space="preserve"> sur la possibilité </w:t>
      </w:r>
      <w:r>
        <w:t>d’intégrer</w:t>
      </w:r>
      <w:r w:rsidR="00116E6D">
        <w:t xml:space="preserve"> un PM dans ce NRO.</w:t>
      </w:r>
    </w:p>
    <w:p w:rsidR="00116E6D" w:rsidRDefault="00116E6D" w:rsidP="00373D6C"/>
    <w:p w:rsidR="00116E6D" w:rsidRDefault="00116E6D" w:rsidP="00373D6C">
      <w:r>
        <w:lastRenderedPageBreak/>
        <w:t>Sur ce dernier point</w:t>
      </w:r>
      <w:r w:rsidR="0076439F">
        <w:t>,</w:t>
      </w:r>
      <w:r>
        <w:t xml:space="preserve"> </w:t>
      </w:r>
      <w:r w:rsidR="0076439F">
        <w:rPr>
          <w:b/>
        </w:rPr>
        <w:t>l</w:t>
      </w:r>
      <w:r w:rsidR="0076439F">
        <w:t>es services de l’Arcep</w:t>
      </w:r>
      <w:r>
        <w:t xml:space="preserve"> </w:t>
      </w:r>
      <w:r w:rsidR="0076439F">
        <w:t xml:space="preserve">indiquent </w:t>
      </w:r>
      <w:r>
        <w:t>que ce sujet a été abordé</w:t>
      </w:r>
      <w:r w:rsidR="008E7A5A">
        <w:t xml:space="preserve"> </w:t>
      </w:r>
      <w:r>
        <w:t>dans les groupes de travail et dans la multilatérale sur le sujet</w:t>
      </w:r>
      <w:r w:rsidR="00BF4816">
        <w:t>.</w:t>
      </w:r>
      <w:r>
        <w:t xml:space="preserve"> </w:t>
      </w:r>
      <w:r w:rsidR="00BF4816">
        <w:t xml:space="preserve">Il en ressort une incertitude étant donné la place que peut prendre un PM et les contraintes que cela emporte par rapport à </w:t>
      </w:r>
      <w:r>
        <w:t>un RTO.</w:t>
      </w:r>
    </w:p>
    <w:p w:rsidR="00116E6D" w:rsidRDefault="00116E6D" w:rsidP="00373D6C"/>
    <w:p w:rsidR="00116E6D" w:rsidRDefault="00BF4816" w:rsidP="00373D6C">
      <w:r>
        <w:t>L’</w:t>
      </w:r>
      <w:r w:rsidR="00116E6D" w:rsidRPr="00BF4816">
        <w:rPr>
          <w:b/>
        </w:rPr>
        <w:t>AVICCA</w:t>
      </w:r>
      <w:r w:rsidR="00116E6D">
        <w:t xml:space="preserve"> souhaite que sur ce type de sujet</w:t>
      </w:r>
      <w:r>
        <w:t>s</w:t>
      </w:r>
      <w:r w:rsidR="00116E6D">
        <w:t xml:space="preserve"> il y </w:t>
      </w:r>
      <w:r w:rsidR="001D1206">
        <w:t xml:space="preserve">ait </w:t>
      </w:r>
      <w:r w:rsidR="00116E6D">
        <w:t>davantage de remontées terrain à destination des collectivités.</w:t>
      </w:r>
    </w:p>
    <w:p w:rsidR="00116E6D" w:rsidRDefault="00116E6D" w:rsidP="00373D6C"/>
    <w:p w:rsidR="00116E6D" w:rsidRDefault="0076439F" w:rsidP="00373D6C">
      <w:r>
        <w:t>Les services de l’Arcep</w:t>
      </w:r>
      <w:r w:rsidR="00116E6D">
        <w:t xml:space="preserve"> rappelle</w:t>
      </w:r>
      <w:r>
        <w:t>nt</w:t>
      </w:r>
      <w:r w:rsidR="00116E6D">
        <w:t xml:space="preserve"> qu’une collectivité impliquée en tant qu’opérateur sera traitée de la même manière que les autres opérateurs. Le principe de</w:t>
      </w:r>
      <w:r w:rsidR="0085717E">
        <w:t>s</w:t>
      </w:r>
      <w:r w:rsidR="00116E6D">
        <w:t xml:space="preserve"> multilatérale</w:t>
      </w:r>
      <w:r w:rsidR="0085717E">
        <w:t>s</w:t>
      </w:r>
      <w:r w:rsidR="00116E6D">
        <w:t xml:space="preserve"> est d’échanger avec les utilisateurs des offres de gros, les collectivités déclarées opérateurs sont </w:t>
      </w:r>
      <w:r w:rsidR="00BF4816">
        <w:t xml:space="preserve">ainsi </w:t>
      </w:r>
      <w:r w:rsidR="00116E6D">
        <w:t>systématiquement invitées.</w:t>
      </w:r>
    </w:p>
    <w:p w:rsidR="00116E6D" w:rsidRDefault="00116E6D" w:rsidP="00373D6C"/>
    <w:p w:rsidR="005F03AA" w:rsidRPr="006C5146" w:rsidRDefault="00116E6D" w:rsidP="006C5146">
      <w:r w:rsidRPr="001368C7">
        <w:rPr>
          <w:b/>
        </w:rPr>
        <w:t>Doubs THD</w:t>
      </w:r>
      <w:r w:rsidR="00835564">
        <w:t xml:space="preserve"> plaide pour trois objectifs</w:t>
      </w:r>
      <w:r w:rsidR="00487033">
        <w:t> :</w:t>
      </w:r>
      <w:r w:rsidR="006C5146">
        <w:t xml:space="preserve"> d</w:t>
      </w:r>
      <w:r w:rsidR="00835564">
        <w:t>es offres lisibles et simples</w:t>
      </w:r>
      <w:r w:rsidR="006C5146">
        <w:t>, d</w:t>
      </w:r>
      <w:r w:rsidR="00835564" w:rsidRPr="006C5146">
        <w:t xml:space="preserve">es offres fiables et </w:t>
      </w:r>
      <w:r w:rsidR="006C5146">
        <w:t>moins complexes</w:t>
      </w:r>
      <w:r w:rsidR="00487033">
        <w:t xml:space="preserve"> et des </w:t>
      </w:r>
      <w:r w:rsidR="005F03AA" w:rsidRPr="006C5146">
        <w:t>offres équitables</w:t>
      </w:r>
      <w:r w:rsidR="00487033">
        <w:t>. Sur ce dernier point, Doubs THD</w:t>
      </w:r>
      <w:r w:rsidR="005F03AA" w:rsidRPr="006C5146">
        <w:t xml:space="preserve"> demande </w:t>
      </w:r>
      <w:r w:rsidR="00487033">
        <w:t>une</w:t>
      </w:r>
      <w:r w:rsidR="00487033" w:rsidRPr="006C5146">
        <w:t xml:space="preserve"> </w:t>
      </w:r>
      <w:r w:rsidR="005F03AA" w:rsidRPr="006C5146">
        <w:t>mise en surveillance d</w:t>
      </w:r>
      <w:r w:rsidR="00487033">
        <w:t>’une</w:t>
      </w:r>
      <w:r w:rsidR="005F03AA" w:rsidRPr="006C5146">
        <w:t xml:space="preserve"> </w:t>
      </w:r>
      <w:r w:rsidR="00C93714">
        <w:t xml:space="preserve">possible </w:t>
      </w:r>
      <w:r w:rsidR="005F03AA" w:rsidRPr="006C5146">
        <w:t>situation de discrimination</w:t>
      </w:r>
      <w:r w:rsidR="00487033">
        <w:t xml:space="preserve"> des RIP</w:t>
      </w:r>
      <w:r w:rsidR="00C93714">
        <w:t xml:space="preserve"> au profit des opérateurs intégrés</w:t>
      </w:r>
      <w:r w:rsidR="006C5146">
        <w:t>.</w:t>
      </w:r>
    </w:p>
    <w:p w:rsidR="005F03AA" w:rsidRDefault="005F03AA" w:rsidP="005F03AA">
      <w:r>
        <w:t xml:space="preserve">Ces offres ont été configurées pour du point à point, et ne sont pas adaptées à </w:t>
      </w:r>
      <w:r w:rsidR="006C5146">
        <w:t>l’</w:t>
      </w:r>
      <w:r>
        <w:t>utilisation massive du GC</w:t>
      </w:r>
      <w:r w:rsidR="00FB0B86">
        <w:t>,</w:t>
      </w:r>
      <w:r>
        <w:t xml:space="preserve"> pour une massification d’une BLO en milieu rural. </w:t>
      </w:r>
      <w:r w:rsidR="006C5146">
        <w:t>Le GC aérien Orange représente 25% du linéaire de la BLO, avec des taux de remplacement pouvant aller jusqu’à 30% sur une zone, ce qui coûte entre 500 et 600€ par appui.</w:t>
      </w:r>
    </w:p>
    <w:p w:rsidR="00321BF2" w:rsidRDefault="00321BF2" w:rsidP="005F03AA">
      <w:r>
        <w:t xml:space="preserve">Doubs THD </w:t>
      </w:r>
      <w:r w:rsidR="00353DA5">
        <w:t>souligne</w:t>
      </w:r>
      <w:r>
        <w:t xml:space="preserve"> </w:t>
      </w:r>
      <w:r w:rsidR="00487033">
        <w:t xml:space="preserve">aussi </w:t>
      </w:r>
      <w:r>
        <w:t>d’importants délais dans la mise en œuvre de ses NRA-MED, en moyenne entre 18 et 20 mois, supérieurs à ceux observés au niveau national.</w:t>
      </w:r>
    </w:p>
    <w:p w:rsidR="007F7429" w:rsidRDefault="007F7429" w:rsidP="005F03AA"/>
    <w:p w:rsidR="007F7429" w:rsidRPr="00353DA5" w:rsidRDefault="007F7429" w:rsidP="0076439F">
      <w:pPr>
        <w:rPr>
          <w:b/>
        </w:rPr>
      </w:pPr>
      <w:r w:rsidRPr="00353DA5">
        <w:rPr>
          <w:b/>
        </w:rPr>
        <w:t>Syndicat mixte Seine-et-Marne numérique</w:t>
      </w:r>
      <w:r>
        <w:rPr>
          <w:b/>
        </w:rPr>
        <w:t xml:space="preserve"> </w:t>
      </w:r>
      <w:r w:rsidRPr="00353DA5">
        <w:t>souhaite</w:t>
      </w:r>
      <w:r>
        <w:t xml:space="preserve"> que l’Arcep prenne en compte les importants coûts récurrents de consommation électrique des collectivités dans l’équation économique des opérations de montée en débit.</w:t>
      </w:r>
    </w:p>
    <w:p w:rsidR="007D5CC9" w:rsidRDefault="007D5CC9" w:rsidP="005F03AA"/>
    <w:p w:rsidR="007D5CC9" w:rsidRDefault="007D5CC9" w:rsidP="005F03AA">
      <w:r w:rsidRPr="0008415E">
        <w:rPr>
          <w:b/>
        </w:rPr>
        <w:t>Mayenne THD</w:t>
      </w:r>
      <w:r>
        <w:t xml:space="preserve"> remonte de nombreuses difficultés sur la plateforme OWF. Il y a de nombreuses améliorations à apporter sur la transparence des processus</w:t>
      </w:r>
      <w:r w:rsidR="00E43387">
        <w:t xml:space="preserve"> et la qualité de service</w:t>
      </w:r>
      <w:r>
        <w:t>.</w:t>
      </w:r>
    </w:p>
    <w:p w:rsidR="007D5CC9" w:rsidRDefault="007D5CC9" w:rsidP="005F03AA"/>
    <w:p w:rsidR="007439DD" w:rsidRDefault="0008415E" w:rsidP="007439DD">
      <w:r>
        <w:t xml:space="preserve">Le </w:t>
      </w:r>
      <w:r>
        <w:rPr>
          <w:b/>
        </w:rPr>
        <w:t>c</w:t>
      </w:r>
      <w:r w:rsidR="007D5CC9" w:rsidRPr="007439DD">
        <w:rPr>
          <w:b/>
        </w:rPr>
        <w:t>onseil départemental de Saône-et-Loire</w:t>
      </w:r>
      <w:r w:rsidR="007D5CC9">
        <w:t xml:space="preserve"> </w:t>
      </w:r>
      <w:r w:rsidR="007439DD">
        <w:t xml:space="preserve">relève </w:t>
      </w:r>
      <w:r w:rsidR="007D5CC9">
        <w:t>plusieurs points à aborder sur l’utilisation du GC</w:t>
      </w:r>
      <w:r w:rsidR="007439DD">
        <w:t>.</w:t>
      </w:r>
    </w:p>
    <w:p w:rsidR="00CB26B0" w:rsidRDefault="007439DD" w:rsidP="007439DD">
      <w:r>
        <w:t>Le conseil départemental rencontre des p</w:t>
      </w:r>
      <w:r w:rsidR="007D5CC9" w:rsidRPr="007439DD">
        <w:t>roblème</w:t>
      </w:r>
      <w:r>
        <w:t>s</w:t>
      </w:r>
      <w:r w:rsidR="007D5CC9" w:rsidRPr="007439DD">
        <w:t xml:space="preserve"> </w:t>
      </w:r>
      <w:r>
        <w:t>dans le cadre des</w:t>
      </w:r>
      <w:r w:rsidR="007D5CC9" w:rsidRPr="007439DD">
        <w:t xml:space="preserve"> interventions ponctuelles </w:t>
      </w:r>
      <w:r>
        <w:t>s’agissant</w:t>
      </w:r>
      <w:r w:rsidR="007D5CC9" w:rsidRPr="007439DD">
        <w:t xml:space="preserve"> par exemple de fourreaux écrasés, </w:t>
      </w:r>
      <w:r w:rsidR="00986C59" w:rsidRPr="007439DD">
        <w:t xml:space="preserve">les délais </w:t>
      </w:r>
      <w:r w:rsidR="000B59FE">
        <w:t>d</w:t>
      </w:r>
      <w:r w:rsidR="00986C59" w:rsidRPr="007439DD">
        <w:t xml:space="preserve">’intervention d’un technicien sont souvent incompatibles avec ceux d’un déploiement </w:t>
      </w:r>
      <w:r w:rsidR="00CB26B0">
        <w:t xml:space="preserve">rapide et </w:t>
      </w:r>
      <w:r w:rsidR="00986C59" w:rsidRPr="007439DD">
        <w:t xml:space="preserve">massif. </w:t>
      </w:r>
      <w:r w:rsidR="008F1C44">
        <w:t xml:space="preserve">Selon lui, il pourrait être </w:t>
      </w:r>
      <w:r w:rsidR="00CB26B0">
        <w:t xml:space="preserve">proposé soit : </w:t>
      </w:r>
    </w:p>
    <w:p w:rsidR="00CB26B0" w:rsidRPr="003C778F" w:rsidRDefault="008F1C44" w:rsidP="000013B1">
      <w:pPr>
        <w:pStyle w:val="Paragraphedeliste"/>
        <w:numPr>
          <w:ilvl w:val="0"/>
          <w:numId w:val="8"/>
        </w:numPr>
        <w:rPr>
          <w:lang w:val="fr-FR"/>
        </w:rPr>
      </w:pPr>
      <w:r w:rsidRPr="00CB26B0">
        <w:rPr>
          <w:lang w:val="fr-FR"/>
        </w:rPr>
        <w:t>d’instaurer une</w:t>
      </w:r>
      <w:r w:rsidR="00986C59" w:rsidRPr="00CB26B0">
        <w:rPr>
          <w:lang w:val="fr-FR"/>
        </w:rPr>
        <w:t xml:space="preserve"> obligation </w:t>
      </w:r>
      <w:r w:rsidR="00CB26B0">
        <w:rPr>
          <w:lang w:val="fr-FR"/>
        </w:rPr>
        <w:t xml:space="preserve">pour Orange d’intervenir dans un délai déterminé assez court et </w:t>
      </w:r>
      <w:r w:rsidR="00986C59" w:rsidRPr="00CB26B0">
        <w:rPr>
          <w:lang w:val="fr-FR"/>
        </w:rPr>
        <w:t xml:space="preserve">permettant </w:t>
      </w:r>
      <w:r w:rsidR="00CB26B0">
        <w:rPr>
          <w:lang w:val="fr-FR"/>
        </w:rPr>
        <w:t xml:space="preserve">ainsi </w:t>
      </w:r>
      <w:r w:rsidR="00986C59" w:rsidRPr="00CB26B0">
        <w:rPr>
          <w:lang w:val="fr-FR"/>
        </w:rPr>
        <w:t xml:space="preserve">de stabiliser et planifier </w:t>
      </w:r>
      <w:r w:rsidR="00CB26B0">
        <w:rPr>
          <w:lang w:val="fr-FR"/>
        </w:rPr>
        <w:t xml:space="preserve">les interventions </w:t>
      </w:r>
    </w:p>
    <w:p w:rsidR="007D5CC9" w:rsidRPr="003C778F" w:rsidRDefault="00CB26B0" w:rsidP="000013B1">
      <w:pPr>
        <w:pStyle w:val="Paragraphedeliste"/>
        <w:numPr>
          <w:ilvl w:val="0"/>
          <w:numId w:val="8"/>
        </w:numPr>
        <w:rPr>
          <w:lang w:val="fr-FR"/>
        </w:rPr>
      </w:pPr>
      <w:r w:rsidRPr="00CB26B0">
        <w:rPr>
          <w:lang w:val="fr-FR"/>
        </w:rPr>
        <w:t>de mettre en place une procédure afin de permettre une réparation des fourreaux dégradés rapidement sans intervention sur le site d’un technicien de l’opérateur.</w:t>
      </w:r>
      <w:r w:rsidR="00986C59" w:rsidRPr="00CB26B0">
        <w:rPr>
          <w:lang w:val="fr-FR"/>
        </w:rPr>
        <w:t>.</w:t>
      </w:r>
    </w:p>
    <w:p w:rsidR="00986C59" w:rsidRPr="008F1C44" w:rsidRDefault="008F1C44" w:rsidP="008F1C44">
      <w:r>
        <w:t>Sur les</w:t>
      </w:r>
      <w:r w:rsidR="00986C59" w:rsidRPr="008F1C44">
        <w:t xml:space="preserve"> délai</w:t>
      </w:r>
      <w:r>
        <w:t>s</w:t>
      </w:r>
      <w:r w:rsidR="00986C59" w:rsidRPr="008F1C44">
        <w:t xml:space="preserve"> de validité des aiguillages pour un déploiement massif</w:t>
      </w:r>
      <w:r>
        <w:t xml:space="preserve">, </w:t>
      </w:r>
      <w:r w:rsidR="00986C59" w:rsidRPr="008F1C44">
        <w:t xml:space="preserve">il faut être en mesure de préparer les travaux et </w:t>
      </w:r>
      <w:r w:rsidR="002E73DD">
        <w:t>d’</w:t>
      </w:r>
      <w:r w:rsidR="00986C59" w:rsidRPr="008F1C44">
        <w:t xml:space="preserve">aiguiller </w:t>
      </w:r>
      <w:r w:rsidR="00CB26B0">
        <w:t>l</w:t>
      </w:r>
      <w:r w:rsidR="00986C59" w:rsidRPr="008F1C44">
        <w:t>es fourreaux</w:t>
      </w:r>
      <w:r w:rsidR="00CB26B0">
        <w:t xml:space="preserve"> existants</w:t>
      </w:r>
      <w:r w:rsidR="00986C59" w:rsidRPr="008F1C44">
        <w:t xml:space="preserve"> </w:t>
      </w:r>
      <w:r w:rsidR="002E73DD">
        <w:t>afin de</w:t>
      </w:r>
      <w:r w:rsidR="002E73DD" w:rsidRPr="002E73DD">
        <w:t xml:space="preserve"> planifier l’intervention </w:t>
      </w:r>
      <w:r w:rsidR="00CB26B0">
        <w:t>de mise en œuvre des câbles</w:t>
      </w:r>
      <w:r w:rsidR="00986C59" w:rsidRPr="008F1C44">
        <w:t xml:space="preserve">. </w:t>
      </w:r>
      <w:r w:rsidR="002E73DD">
        <w:t>La Saône-et-Loire indique avoir rencontré des cas, s</w:t>
      </w:r>
      <w:r w:rsidR="007439DD" w:rsidRPr="008F1C44">
        <w:t>ur des opérations d</w:t>
      </w:r>
      <w:r w:rsidR="002E73DD">
        <w:t>e montée en débit, où</w:t>
      </w:r>
      <w:r w:rsidR="007439DD" w:rsidRPr="008F1C44">
        <w:t xml:space="preserve"> un aiguillage </w:t>
      </w:r>
      <w:r w:rsidR="002E73DD">
        <w:t xml:space="preserve">réalisé par la collectivité </w:t>
      </w:r>
      <w:r w:rsidR="007439DD" w:rsidRPr="008F1C44">
        <w:t>avait été utilisé par un autre opérateur</w:t>
      </w:r>
      <w:r w:rsidR="002E73DD">
        <w:t>. Ce type de situation</w:t>
      </w:r>
      <w:r w:rsidR="007439DD" w:rsidRPr="008F1C44">
        <w:t xml:space="preserve"> </w:t>
      </w:r>
      <w:r w:rsidR="002E73DD">
        <w:t>impose</w:t>
      </w:r>
      <w:r w:rsidR="007439DD" w:rsidRPr="008F1C44">
        <w:t xml:space="preserve"> de refaire des études afin de trouver un autre itinéraire. </w:t>
      </w:r>
      <w:r w:rsidR="000E05AA">
        <w:t>Le département insiste donc sur la n</w:t>
      </w:r>
      <w:r w:rsidR="00986C59" w:rsidRPr="008F1C44">
        <w:t>écessité de pérenniser dans le temps ces aiguilles.</w:t>
      </w:r>
    </w:p>
    <w:p w:rsidR="007439DD" w:rsidRPr="000E05AA" w:rsidRDefault="000E05AA" w:rsidP="000E05AA">
      <w:r>
        <w:t>Dans le cadre d’o</w:t>
      </w:r>
      <w:r w:rsidR="007439DD" w:rsidRPr="000E05AA">
        <w:t xml:space="preserve">pticalisation d’un NRA pour une opération de montée en débit, </w:t>
      </w:r>
      <w:r>
        <w:t>le département rappelle qu’Orange dispose d’</w:t>
      </w:r>
      <w:r w:rsidR="007439DD" w:rsidRPr="000E05AA">
        <w:t xml:space="preserve">un délai d’une vingtaine de jours pour répondre sur l’étude de faisabilité, </w:t>
      </w:r>
      <w:r>
        <w:t>dans les faits certaines</w:t>
      </w:r>
      <w:r w:rsidR="007439DD" w:rsidRPr="000E05AA">
        <w:t xml:space="preserve"> réponses ont été apportées après plusieurs mois</w:t>
      </w:r>
      <w:r>
        <w:t>,</w:t>
      </w:r>
      <w:r w:rsidR="007439DD" w:rsidRPr="000E05AA">
        <w:t xml:space="preserve"> sans que cela n’emporte de pénalité pour l’opérateur, ce qui retarde le lancement des travaux.</w:t>
      </w:r>
    </w:p>
    <w:p w:rsidR="007439DD" w:rsidRDefault="007439DD" w:rsidP="000E05AA">
      <w:r w:rsidRPr="000E05AA">
        <w:t>S’agissant du SAV en cas de rupture</w:t>
      </w:r>
      <w:r w:rsidR="00CB26B0">
        <w:t xml:space="preserve"> accidentelle</w:t>
      </w:r>
      <w:r w:rsidRPr="000E05AA">
        <w:t xml:space="preserve"> d’infrastructures </w:t>
      </w:r>
      <w:r w:rsidR="00CB26B0">
        <w:t xml:space="preserve">(fourreaux d’Orange) </w:t>
      </w:r>
      <w:r w:rsidRPr="000E05AA">
        <w:t>dans lesquelles passent les fibres de la collectivité</w:t>
      </w:r>
      <w:r w:rsidR="00652F0E">
        <w:t xml:space="preserve"> qui sont sur le point d’être mise en service</w:t>
      </w:r>
      <w:r w:rsidRPr="000E05AA">
        <w:t xml:space="preserve">, la réparation dépend d’un comité d’engagement auprès d’Orange </w:t>
      </w:r>
      <w:r w:rsidR="00D628A1">
        <w:t xml:space="preserve">se </w:t>
      </w:r>
      <w:r w:rsidR="00E42B3A">
        <w:t>fondant</w:t>
      </w:r>
      <w:r w:rsidR="00D628A1">
        <w:t xml:space="preserve"> sur le</w:t>
      </w:r>
      <w:r w:rsidRPr="000E05AA">
        <w:t xml:space="preserve"> montant des travaux à effectuer ce qui ralentit encore la mise en service d’un PRM</w:t>
      </w:r>
      <w:r w:rsidR="000F68CE">
        <w:t xml:space="preserve"> alors que la location est activée</w:t>
      </w:r>
      <w:r w:rsidRPr="000E05AA">
        <w:t>.</w:t>
      </w:r>
    </w:p>
    <w:p w:rsidR="000F68CE" w:rsidRDefault="000F68CE" w:rsidP="000F68CE">
      <w:r>
        <w:t xml:space="preserve">En complément, le département indique devoir dévoyer un réseau de fibres PRM actuellement dans un fourreau Orange pour permettre la dépose et la repose d’un tablier de pont. Dans le cadre l’offre iBLO, le département est obligé de reprendre les fibres à partir de boitiers situés très loin du point de coupure alors qu’il pourrait être envisagé de se connecter dans les chambres au plus proche de l’ouvrage pour passer momentanément en aéro souterrain. Dans ces cas précis de dévoiements temporaires, le conseil </w:t>
      </w:r>
      <w:r>
        <w:lastRenderedPageBreak/>
        <w:t>départemental s’interroge sur la possibilité d’adapter l’offre afin de faciliter les interventions au plus simple afin d’en diminuer le coût et la complexité?</w:t>
      </w:r>
    </w:p>
    <w:p w:rsidR="000E05AA" w:rsidRDefault="000E05AA" w:rsidP="000E05AA"/>
    <w:p w:rsidR="000E05AA" w:rsidRDefault="00306DEC" w:rsidP="000E05AA">
      <w:r w:rsidRPr="00EA1D4C">
        <w:rPr>
          <w:b/>
        </w:rPr>
        <w:t>Altitude</w:t>
      </w:r>
      <w:r>
        <w:t xml:space="preserve"> indique avoir également rencontré des problématiques de processus </w:t>
      </w:r>
      <w:r w:rsidR="0008415E">
        <w:t>entrainant</w:t>
      </w:r>
      <w:r w:rsidR="00C31295">
        <w:t xml:space="preserve"> des conséquences</w:t>
      </w:r>
      <w:r>
        <w:t xml:space="preserve"> sur les projets concessifs</w:t>
      </w:r>
      <w:r w:rsidR="0008415E">
        <w:t>,</w:t>
      </w:r>
      <w:r>
        <w:t xml:space="preserve"> mais également dans le cas des affermages ou de régies intéressées, où cela a une répercussion très claire sur le rythme de livraison des prises et pouvant avoir des impacts sur les relations qu’ils entretiennent avec les collectivités.</w:t>
      </w:r>
    </w:p>
    <w:p w:rsidR="00306DEC" w:rsidRDefault="00306DEC" w:rsidP="000E05AA">
      <w:r>
        <w:t xml:space="preserve">Concernant les trois offres, l’opérateur constate globalement, notamment en phase d’appel d’offres, </w:t>
      </w:r>
      <w:r w:rsidR="00C31295">
        <w:t>des</w:t>
      </w:r>
      <w:r>
        <w:t xml:space="preserve"> difficulté</w:t>
      </w:r>
      <w:r w:rsidR="00C31295">
        <w:t>s</w:t>
      </w:r>
      <w:r>
        <w:t xml:space="preserve"> dans</w:t>
      </w:r>
      <w:r w:rsidR="00C31295">
        <w:t> :</w:t>
      </w:r>
      <w:r>
        <w:t xml:space="preserve"> les processus d’informations préalables, les délais ou la disponibilité de l’information. Les délais sont souvent incompatibles avec les procédures d’appels d’offres</w:t>
      </w:r>
      <w:r w:rsidR="00C31295">
        <w:t>,</w:t>
      </w:r>
      <w:r>
        <w:t xml:space="preserve"> ce qui amène à prendre des risques se traduisant économiquement et donc sur la </w:t>
      </w:r>
      <w:r w:rsidR="00C31295">
        <w:t>compétitivité</w:t>
      </w:r>
      <w:r>
        <w:t xml:space="preserve"> de leurs offres.</w:t>
      </w:r>
    </w:p>
    <w:p w:rsidR="00306DEC" w:rsidRDefault="00306DEC" w:rsidP="000E05AA">
      <w:r>
        <w:t xml:space="preserve">Sur l’hébergement NRO-NRA, le </w:t>
      </w:r>
      <w:r w:rsidR="00C31295">
        <w:t>travail</w:t>
      </w:r>
      <w:r>
        <w:t xml:space="preserve"> réalisé en multilatérale a porté ses fruits, le point </w:t>
      </w:r>
      <w:r w:rsidR="00C31295">
        <w:t xml:space="preserve">principal </w:t>
      </w:r>
      <w:r>
        <w:t xml:space="preserve">de </w:t>
      </w:r>
      <w:r w:rsidR="00C31295">
        <w:t>blocage</w:t>
      </w:r>
      <w:r>
        <w:t xml:space="preserve"> reste </w:t>
      </w:r>
      <w:r w:rsidR="00C31295">
        <w:t xml:space="preserve">selon eux, </w:t>
      </w:r>
      <w:r>
        <w:t xml:space="preserve">la </w:t>
      </w:r>
      <w:r w:rsidR="00C31295">
        <w:t>visibilité</w:t>
      </w:r>
      <w:r>
        <w:t xml:space="preserve"> sur la </w:t>
      </w:r>
      <w:r w:rsidR="00C31295">
        <w:t>possibilité</w:t>
      </w:r>
      <w:r>
        <w:t xml:space="preserve"> </w:t>
      </w:r>
      <w:r w:rsidR="00A935B7">
        <w:t>de réalisation. Pour l’opérateur, des aménagements restent à faire dans le cadre de LFO, notamment sur l</w:t>
      </w:r>
      <w:r w:rsidR="005A3A4B">
        <w:t>a</w:t>
      </w:r>
      <w:r w:rsidR="00713646">
        <w:t xml:space="preserve"> limite</w:t>
      </w:r>
      <w:r w:rsidR="00A935B7">
        <w:t xml:space="preserve"> </w:t>
      </w:r>
      <w:r>
        <w:t>de distance</w:t>
      </w:r>
      <w:r w:rsidR="00E42B3A">
        <w:t xml:space="preserve"> </w:t>
      </w:r>
      <w:r w:rsidR="00713646">
        <w:t>(</w:t>
      </w:r>
      <w:r w:rsidR="00A935B7">
        <w:t>40 km</w:t>
      </w:r>
      <w:r w:rsidR="00D23D19">
        <w:t>)</w:t>
      </w:r>
      <w:r w:rsidR="00E42B3A">
        <w:t xml:space="preserve"> </w:t>
      </w:r>
      <w:r w:rsidR="00D23D19">
        <w:t>et</w:t>
      </w:r>
      <w:r>
        <w:t xml:space="preserve"> </w:t>
      </w:r>
      <w:r w:rsidR="005A3A4B">
        <w:t xml:space="preserve">la condition </w:t>
      </w:r>
      <w:r>
        <w:t>d’</w:t>
      </w:r>
      <w:r w:rsidR="00C31295">
        <w:t>existence d’un NRO aménagé dans un NRA à une des deux extrémités de LFO</w:t>
      </w:r>
      <w:r w:rsidR="00A935B7">
        <w:t> ; Altitude souhaitan</w:t>
      </w:r>
      <w:r w:rsidR="00C31295">
        <w:t xml:space="preserve">t bénéficier de l’offre LFO sans cette condition. </w:t>
      </w:r>
      <w:r w:rsidR="00A935B7">
        <w:t>Il s</w:t>
      </w:r>
      <w:r w:rsidR="00C31295">
        <w:t xml:space="preserve">ouhaiterait également des aménagements du montage tarifaire </w:t>
      </w:r>
      <w:r w:rsidR="00916AE9">
        <w:t>tels</w:t>
      </w:r>
      <w:r w:rsidR="00A935B7">
        <w:t xml:space="preserve"> que</w:t>
      </w:r>
      <w:r w:rsidR="00C31295">
        <w:t xml:space="preserve"> la possibilité de recourir à cette offre sous format capexisé</w:t>
      </w:r>
      <w:r w:rsidR="00A935B7">
        <w:t>,</w:t>
      </w:r>
      <w:r w:rsidR="00C31295">
        <w:t xml:space="preserve"> qui correspond davantage </w:t>
      </w:r>
      <w:r w:rsidR="00A935B7">
        <w:t>aux</w:t>
      </w:r>
      <w:r w:rsidR="00C31295">
        <w:t xml:space="preserve"> modèles économiques des RIP.</w:t>
      </w:r>
    </w:p>
    <w:p w:rsidR="00337A7E" w:rsidRDefault="00337A7E" w:rsidP="000E05AA"/>
    <w:p w:rsidR="00042743" w:rsidRDefault="0076439F" w:rsidP="000E05AA">
      <w:r>
        <w:t>Les services de l’Arcep</w:t>
      </w:r>
      <w:r w:rsidR="00042743">
        <w:t xml:space="preserve"> </w:t>
      </w:r>
      <w:r w:rsidR="00410D78">
        <w:t xml:space="preserve">indiquent </w:t>
      </w:r>
      <w:r w:rsidR="00042743">
        <w:t>que l’offre LFO propose en plus de la tarification classique susceptible d’évoluer sous contrôle de l’Arcep</w:t>
      </w:r>
      <w:r w:rsidR="006B5F41">
        <w:t xml:space="preserve">, une tarification sécurisée sur 20 ans dont le tarif est connu et stable sur toute la période. Cette tarification pourrait être utilisée </w:t>
      </w:r>
      <w:r w:rsidR="00937E8D">
        <w:t xml:space="preserve">avec l’intervention d’une banque pour avoir un format capexisé. </w:t>
      </w:r>
    </w:p>
    <w:p w:rsidR="00C31295" w:rsidRDefault="00C31295" w:rsidP="000E05AA"/>
    <w:p w:rsidR="00A56B91" w:rsidRDefault="00EA1D4C" w:rsidP="000E05AA">
      <w:r>
        <w:t>L’</w:t>
      </w:r>
      <w:r w:rsidRPr="0043353E">
        <w:rPr>
          <w:b/>
        </w:rPr>
        <w:t>Agence du numé</w:t>
      </w:r>
      <w:r w:rsidR="00916AE9" w:rsidRPr="0043353E">
        <w:rPr>
          <w:b/>
        </w:rPr>
        <w:t xml:space="preserve">rique </w:t>
      </w:r>
      <w:r w:rsidR="00916AE9">
        <w:t xml:space="preserve">indique </w:t>
      </w:r>
      <w:r w:rsidR="00A41803">
        <w:t xml:space="preserve">que concernant l’offre </w:t>
      </w:r>
      <w:r w:rsidR="00916AE9">
        <w:t>LFO</w:t>
      </w:r>
      <w:r w:rsidR="0043353E">
        <w:t>,</w:t>
      </w:r>
      <w:r w:rsidR="00916AE9">
        <w:t xml:space="preserve"> les principaux points </w:t>
      </w:r>
      <w:r w:rsidR="00A41803">
        <w:t xml:space="preserve">qui lui ont été remontés par certaines collectivités </w:t>
      </w:r>
      <w:r w:rsidR="00916AE9">
        <w:t>qui leur app</w:t>
      </w:r>
      <w:r w:rsidR="0043353E">
        <w:t>araissent</w:t>
      </w:r>
      <w:r w:rsidR="00E91E05">
        <w:t xml:space="preserve"> critiques </w:t>
      </w:r>
      <w:r w:rsidR="00A41803">
        <w:t xml:space="preserve"> et devant faire l’objet d’une instruction dans le cadre de l’analyse de marché</w:t>
      </w:r>
      <w:r w:rsidR="0043353E">
        <w:t xml:space="preserve"> concerne</w:t>
      </w:r>
      <w:r w:rsidR="0008415E">
        <w:t>nt</w:t>
      </w:r>
      <w:r w:rsidR="00A56B91">
        <w:t> :</w:t>
      </w:r>
      <w:r w:rsidR="0043353E">
        <w:t xml:space="preserve"> </w:t>
      </w:r>
    </w:p>
    <w:p w:rsidR="000F5E19" w:rsidRPr="003C778F" w:rsidRDefault="0043353E" w:rsidP="000013B1">
      <w:pPr>
        <w:pStyle w:val="Paragraphedeliste"/>
        <w:numPr>
          <w:ilvl w:val="0"/>
          <w:numId w:val="8"/>
        </w:numPr>
        <w:rPr>
          <w:lang w:val="fr-FR"/>
        </w:rPr>
      </w:pPr>
      <w:r w:rsidRPr="00A56B91">
        <w:rPr>
          <w:lang w:val="fr-FR"/>
        </w:rPr>
        <w:t>l’</w:t>
      </w:r>
      <w:r w:rsidR="00E91E05" w:rsidRPr="00A56B91">
        <w:rPr>
          <w:lang w:val="fr-FR"/>
        </w:rPr>
        <w:t>information</w:t>
      </w:r>
      <w:r w:rsidR="00916AE9" w:rsidRPr="00A56B91">
        <w:rPr>
          <w:lang w:val="fr-FR"/>
        </w:rPr>
        <w:t xml:space="preserve"> </w:t>
      </w:r>
      <w:r w:rsidR="00E91E05" w:rsidRPr="00A56B91">
        <w:rPr>
          <w:lang w:val="fr-FR"/>
        </w:rPr>
        <w:t>préalable sur le nom</w:t>
      </w:r>
      <w:r w:rsidRPr="00A56B91">
        <w:rPr>
          <w:lang w:val="fr-FR"/>
        </w:rPr>
        <w:t>br</w:t>
      </w:r>
      <w:r w:rsidR="00916AE9" w:rsidRPr="00A56B91">
        <w:rPr>
          <w:lang w:val="fr-FR"/>
        </w:rPr>
        <w:t xml:space="preserve">e de </w:t>
      </w:r>
      <w:r w:rsidR="003E618D" w:rsidRPr="00A56B91">
        <w:rPr>
          <w:lang w:val="fr-FR"/>
        </w:rPr>
        <w:t xml:space="preserve">fibres </w:t>
      </w:r>
      <w:r w:rsidR="00E91E05" w:rsidRPr="00A56B91">
        <w:rPr>
          <w:lang w:val="fr-FR"/>
        </w:rPr>
        <w:t>disponibles en fonction de</w:t>
      </w:r>
      <w:r w:rsidR="00916AE9" w:rsidRPr="00A56B91">
        <w:rPr>
          <w:lang w:val="fr-FR"/>
        </w:rPr>
        <w:t>s</w:t>
      </w:r>
      <w:r w:rsidR="00E91E05" w:rsidRPr="00A56B91">
        <w:rPr>
          <w:lang w:val="fr-FR"/>
        </w:rPr>
        <w:t xml:space="preserve"> </w:t>
      </w:r>
      <w:r w:rsidR="00916AE9" w:rsidRPr="00A56B91">
        <w:rPr>
          <w:lang w:val="fr-FR"/>
        </w:rPr>
        <w:t>tronçons</w:t>
      </w:r>
      <w:r w:rsidR="000F5E19">
        <w:rPr>
          <w:lang w:val="fr-FR"/>
        </w:rPr>
        <w:t> ;</w:t>
      </w:r>
    </w:p>
    <w:p w:rsidR="000F5E19" w:rsidRPr="003C778F" w:rsidRDefault="000F5E19" w:rsidP="000013B1">
      <w:pPr>
        <w:pStyle w:val="Paragraphedeliste"/>
        <w:numPr>
          <w:ilvl w:val="0"/>
          <w:numId w:val="8"/>
        </w:numPr>
        <w:rPr>
          <w:lang w:val="fr-FR"/>
        </w:rPr>
      </w:pPr>
      <w:r>
        <w:rPr>
          <w:lang w:val="fr-FR"/>
        </w:rPr>
        <w:t>la capacité à commander, le cas échéant sur une base commerciale, plus d’une fibre ;</w:t>
      </w:r>
    </w:p>
    <w:p w:rsidR="00EA1D4C" w:rsidRPr="003C778F" w:rsidRDefault="00916AE9" w:rsidP="000013B1">
      <w:pPr>
        <w:pStyle w:val="Paragraphedeliste"/>
        <w:numPr>
          <w:ilvl w:val="0"/>
          <w:numId w:val="8"/>
        </w:numPr>
        <w:rPr>
          <w:lang w:val="fr-FR"/>
        </w:rPr>
      </w:pPr>
      <w:r w:rsidRPr="00A56B91">
        <w:rPr>
          <w:lang w:val="fr-FR"/>
        </w:rPr>
        <w:t>la capacité de raccorder un RTO quand il n’est pas situé dans les infrastructures d’Orange.</w:t>
      </w:r>
    </w:p>
    <w:p w:rsidR="00916AE9" w:rsidRDefault="00916AE9" w:rsidP="000E05AA">
      <w:r>
        <w:t>Sur</w:t>
      </w:r>
      <w:r w:rsidR="0043353E">
        <w:t xml:space="preserve"> le génie civil</w:t>
      </w:r>
      <w:r>
        <w:t xml:space="preserve">, </w:t>
      </w:r>
      <w:r w:rsidR="0043353E">
        <w:t xml:space="preserve">l’Agence </w:t>
      </w:r>
      <w:r>
        <w:t xml:space="preserve">note </w:t>
      </w:r>
      <w:r w:rsidR="0043353E">
        <w:t xml:space="preserve">les nombreux </w:t>
      </w:r>
      <w:r>
        <w:t xml:space="preserve">points </w:t>
      </w:r>
      <w:r w:rsidR="0043353E">
        <w:t xml:space="preserve">remontés par les collectivités et </w:t>
      </w:r>
      <w:r>
        <w:t xml:space="preserve">suivra donc attentivement les </w:t>
      </w:r>
      <w:r w:rsidR="0043353E">
        <w:t>travaux</w:t>
      </w:r>
      <w:r>
        <w:t xml:space="preserve"> de l’Arcep</w:t>
      </w:r>
      <w:r w:rsidR="0043353E">
        <w:t xml:space="preserve"> sur </w:t>
      </w:r>
      <w:r w:rsidR="000F5E19">
        <w:t>l’accès au génie civil d’Orange</w:t>
      </w:r>
      <w:r w:rsidR="0043353E">
        <w:t>.</w:t>
      </w:r>
    </w:p>
    <w:p w:rsidR="000F5E19" w:rsidRDefault="000F5E19" w:rsidP="000E05AA"/>
    <w:p w:rsidR="00916AE9" w:rsidRDefault="0043353E" w:rsidP="000E05AA">
      <w:r>
        <w:t>En réponse au CEREMA, s’agissant de</w:t>
      </w:r>
      <w:r w:rsidR="00E91E05">
        <w:t xml:space="preserve"> l’augmentation du niveau de production de NRA-</w:t>
      </w:r>
      <w:r>
        <w:t>ME</w:t>
      </w:r>
      <w:r w:rsidR="00E91E05">
        <w:t xml:space="preserve">D via l’offre PRM, </w:t>
      </w:r>
      <w:r>
        <w:t>L’Agence indique que</w:t>
      </w:r>
      <w:r w:rsidR="00E91E05">
        <w:t xml:space="preserve"> l’</w:t>
      </w:r>
      <w:r>
        <w:t xml:space="preserve">un des </w:t>
      </w:r>
      <w:r w:rsidR="00E91E05">
        <w:t>moyens d’action identifié va dans le sens du renforcement de l’</w:t>
      </w:r>
      <w:r>
        <w:t>articulation</w:t>
      </w:r>
      <w:r w:rsidR="00E91E05">
        <w:t xml:space="preserve"> de </w:t>
      </w:r>
      <w:r>
        <w:t>PRM</w:t>
      </w:r>
      <w:r w:rsidR="00E91E05">
        <w:t xml:space="preserve"> avec les futurs projets de FttH et faire en sorte qu’il y ait plus de fluidité sur ces aspects</w:t>
      </w:r>
      <w:r w:rsidR="000F5E19">
        <w:t xml:space="preserve"> (voir plus haut)</w:t>
      </w:r>
      <w:r w:rsidR="00E91E05">
        <w:t>.</w:t>
      </w:r>
    </w:p>
    <w:p w:rsidR="00E662C2" w:rsidRDefault="00E662C2" w:rsidP="000E05AA"/>
    <w:p w:rsidR="00E662C2" w:rsidRDefault="004F7515" w:rsidP="000E05AA">
      <w:r>
        <w:rPr>
          <w:b/>
        </w:rPr>
        <w:t>Oise THD</w:t>
      </w:r>
      <w:r w:rsidR="00E06578">
        <w:t xml:space="preserve"> indique que les remontées de terrain concernent un excès de précautions </w:t>
      </w:r>
      <w:r w:rsidR="0008415E">
        <w:t>de la part du propriétaire du génie civil</w:t>
      </w:r>
      <w:r w:rsidR="00E06578">
        <w:t xml:space="preserve"> sur les règles d’ingénierie rendant l’offre complexe dans sa gestion, un simple principe de neutralité technologique lui semblerait utile à faire valoir pour assouplir les règles. </w:t>
      </w:r>
    </w:p>
    <w:p w:rsidR="00E06578" w:rsidRDefault="00DF556E" w:rsidP="000E05AA">
      <w:r>
        <w:t xml:space="preserve">S’agissant du </w:t>
      </w:r>
      <w:r w:rsidR="00FB0B86">
        <w:t>J</w:t>
      </w:r>
      <w:r w:rsidR="00E06578">
        <w:t>3M</w:t>
      </w:r>
      <w:r>
        <w:t xml:space="preserve">, si </w:t>
      </w:r>
      <w:r w:rsidR="004F7515">
        <w:t>Oise THD</w:t>
      </w:r>
      <w:r>
        <w:t xml:space="preserve"> comprend la logique</w:t>
      </w:r>
      <w:r w:rsidR="00E06578">
        <w:t xml:space="preserve"> </w:t>
      </w:r>
      <w:r>
        <w:t>pour la</w:t>
      </w:r>
      <w:r w:rsidR="0008415E">
        <w:t xml:space="preserve"> zone </w:t>
      </w:r>
      <w:r w:rsidR="00E06578">
        <w:t xml:space="preserve">AMII, </w:t>
      </w:r>
      <w:r>
        <w:t>il s’interroge sur la possibilité d’un assouplissement en zone RIP.</w:t>
      </w:r>
    </w:p>
    <w:p w:rsidR="00E06578" w:rsidRDefault="00E06578" w:rsidP="000E05AA">
      <w:r>
        <w:t xml:space="preserve">Les </w:t>
      </w:r>
      <w:r w:rsidR="005C1247">
        <w:t xml:space="preserve">fibres d’un </w:t>
      </w:r>
      <w:r>
        <w:t>RIP étant en « monopole naturel », la régulation va-t-elle rester symétrique ou faut-il s’attendre à ce qu’elle devienne asymétrique ?</w:t>
      </w:r>
    </w:p>
    <w:p w:rsidR="00E06578" w:rsidRDefault="00E06578" w:rsidP="000E05AA"/>
    <w:p w:rsidR="00E06578" w:rsidRDefault="0076439F" w:rsidP="000E05AA">
      <w:r>
        <w:t>Les services de l’Arcep</w:t>
      </w:r>
      <w:r w:rsidR="00E06578">
        <w:t xml:space="preserve"> </w:t>
      </w:r>
      <w:r w:rsidR="00410D78">
        <w:t xml:space="preserve">indiquent </w:t>
      </w:r>
      <w:r w:rsidR="00E06578">
        <w:t xml:space="preserve">que la régulation sur la fibre est bien symétrique, la partie asymétrique est celle pesant sur Orange dans le cadre de l’accès aux infrastructures </w:t>
      </w:r>
      <w:r w:rsidR="00DF556E">
        <w:t>de génie civil</w:t>
      </w:r>
      <w:r>
        <w:t>Les services de l’Arcep</w:t>
      </w:r>
      <w:r w:rsidR="00DF556E">
        <w:t>.</w:t>
      </w:r>
    </w:p>
    <w:p w:rsidR="00DF556E" w:rsidRDefault="00DF556E" w:rsidP="000E05AA">
      <w:r>
        <w:t xml:space="preserve">Sur le </w:t>
      </w:r>
      <w:r w:rsidR="00FB0B86">
        <w:t>J</w:t>
      </w:r>
      <w:r>
        <w:t>3M, tous les acteurs sont soumis aux mêmes règles en tant qu’opérateurs, qu’ils</w:t>
      </w:r>
      <w:r w:rsidR="0032221A">
        <w:t xml:space="preserve"> </w:t>
      </w:r>
      <w:r>
        <w:t>soient publics ou privés, aucune raison actuellement ne permettrait de justifier une position différente entre les acteurs publics et privés.</w:t>
      </w:r>
    </w:p>
    <w:p w:rsidR="004F7515" w:rsidRDefault="004F7515" w:rsidP="000E05AA"/>
    <w:p w:rsidR="004F7515" w:rsidRDefault="0008415E" w:rsidP="000E05AA">
      <w:r>
        <w:t xml:space="preserve">La </w:t>
      </w:r>
      <w:r w:rsidR="004F7515" w:rsidRPr="009654B1">
        <w:rPr>
          <w:b/>
        </w:rPr>
        <w:t>FNCCR</w:t>
      </w:r>
      <w:r w:rsidR="004F7515">
        <w:t xml:space="preserve"> </w:t>
      </w:r>
      <w:r w:rsidR="004A47EE">
        <w:t xml:space="preserve">indique, d’après les remontées de ses membres, que </w:t>
      </w:r>
      <w:r w:rsidR="004F7515">
        <w:t>ceux qui utilise</w:t>
      </w:r>
      <w:r w:rsidR="004A47EE">
        <w:t>nt</w:t>
      </w:r>
      <w:r w:rsidR="004F7515">
        <w:t xml:space="preserve"> les rése</w:t>
      </w:r>
      <w:r>
        <w:t>aux électriques aériens et le génie civil</w:t>
      </w:r>
      <w:r w:rsidR="004F7515">
        <w:t xml:space="preserve"> aérien d’Orange appelle</w:t>
      </w:r>
      <w:r w:rsidR="004A47EE">
        <w:t>nt</w:t>
      </w:r>
      <w:r w:rsidR="004F7515">
        <w:t xml:space="preserve"> à davantage d’harmonisations techniques (croix de lovage, les adductions aéro-souterraines et les par</w:t>
      </w:r>
      <w:r w:rsidR="00FB0B86">
        <w:t>t</w:t>
      </w:r>
      <w:r w:rsidR="004F7515">
        <w:t>ages de traverses).</w:t>
      </w:r>
    </w:p>
    <w:p w:rsidR="004F7515" w:rsidRDefault="004A47EE" w:rsidP="000E05AA">
      <w:r>
        <w:t>L’association signale également avoir des r</w:t>
      </w:r>
      <w:r w:rsidR="004F7515">
        <w:t>emontée</w:t>
      </w:r>
      <w:r w:rsidR="00FB0B86">
        <w:t>s</w:t>
      </w:r>
      <w:r w:rsidR="004F7515">
        <w:t xml:space="preserve"> très fréquentes des adhérents construisant des réseaux ou d’autres opérateurs privés constructeurs de réseaux </w:t>
      </w:r>
      <w:r>
        <w:t>qui,</w:t>
      </w:r>
      <w:r w:rsidR="004F7515">
        <w:t xml:space="preserve"> en additionnant les redevances</w:t>
      </w:r>
      <w:r w:rsidR="00284E4F">
        <w:t xml:space="preserve">, la participation </w:t>
      </w:r>
      <w:r w:rsidR="00284E4F">
        <w:lastRenderedPageBreak/>
        <w:t>contrainte au maintien en condition opérationnelle (ex : remplacement de poteaux)</w:t>
      </w:r>
      <w:r w:rsidR="004F7515">
        <w:t xml:space="preserve"> et les « jours-hommes » </w:t>
      </w:r>
      <w:r w:rsidR="00284E4F">
        <w:t xml:space="preserve">induits </w:t>
      </w:r>
      <w:r w:rsidR="004F7515">
        <w:t xml:space="preserve">dans les difficultés opérationnelles </w:t>
      </w:r>
      <w:r>
        <w:t>envisagent de recourir à</w:t>
      </w:r>
      <w:r w:rsidR="0008415E">
        <w:t xml:space="preserve"> du génie civil</w:t>
      </w:r>
      <w:r w:rsidR="004F7515">
        <w:t xml:space="preserve"> allégé et </w:t>
      </w:r>
      <w:r>
        <w:t>d’</w:t>
      </w:r>
      <w:r w:rsidR="004F7515">
        <w:t xml:space="preserve">abandonner le recours aux infrastructures d’accueil existantes. </w:t>
      </w:r>
      <w:r>
        <w:t>Pour la FNCCR, il existe un v</w:t>
      </w:r>
      <w:r w:rsidR="004F7515">
        <w:t>éritable enjeu à rendre davantage opérationnel</w:t>
      </w:r>
      <w:r w:rsidR="009D4A13">
        <w:t>s</w:t>
      </w:r>
      <w:r w:rsidR="004F7515">
        <w:t xml:space="preserve"> </w:t>
      </w:r>
      <w:r w:rsidR="00284E4F">
        <w:t>c</w:t>
      </w:r>
      <w:r w:rsidR="004F7515">
        <w:t>es réseaux vieillissants.</w:t>
      </w:r>
    </w:p>
    <w:p w:rsidR="00CB0D6A" w:rsidRDefault="00321BF2" w:rsidP="000E05AA">
      <w:r>
        <w:t xml:space="preserve">L’association fait part de son intérêt pour une meilleure prévisibilité des tarifs de génie civil. Elle propose aussi </w:t>
      </w:r>
      <w:r w:rsidRPr="00321BF2">
        <w:t>la comptabilisat</w:t>
      </w:r>
      <w:r w:rsidR="00574E09">
        <w:t xml:space="preserve">ion </w:t>
      </w:r>
      <w:r w:rsidRPr="00321BF2">
        <w:t xml:space="preserve">en CAPEX </w:t>
      </w:r>
      <w:r w:rsidR="00574E09">
        <w:t>des</w:t>
      </w:r>
      <w:r w:rsidRPr="00321BF2">
        <w:t xml:space="preserve"> dépenses, sous la forme d’acquisition de droits d’usages irrévocables (IRU).</w:t>
      </w:r>
    </w:p>
    <w:p w:rsidR="00FB0B86" w:rsidRDefault="00FB0B86" w:rsidP="000E05AA">
      <w:pPr>
        <w:rPr>
          <w:b/>
        </w:rPr>
      </w:pPr>
    </w:p>
    <w:p w:rsidR="00CB0D6A" w:rsidRDefault="00CB0D6A" w:rsidP="000E05AA">
      <w:r w:rsidRPr="00D87D08">
        <w:rPr>
          <w:b/>
        </w:rPr>
        <w:t>Orange</w:t>
      </w:r>
      <w:r w:rsidR="00D87D08">
        <w:t>,</w:t>
      </w:r>
      <w:r>
        <w:t xml:space="preserve"> </w:t>
      </w:r>
      <w:r w:rsidR="00D87D08">
        <w:t>sur le génie civil, précise être dans une équivalence des processus dans ses déploiements FttH ou RIP, le fonctionnement utilisé est le même en passant par des procédures au travers d’OWF pour les commandes.</w:t>
      </w:r>
    </w:p>
    <w:p w:rsidR="00D87D08" w:rsidRDefault="009D0301" w:rsidP="000E05AA">
      <w:r>
        <w:t>L’offre de génie civil</w:t>
      </w:r>
      <w:r w:rsidR="00D87D08">
        <w:t xml:space="preserve"> est suivi avec les opérateurs en multilatérales et fait l’objet d’évolutions permanente</w:t>
      </w:r>
      <w:r w:rsidR="00FB0B86">
        <w:t>s</w:t>
      </w:r>
      <w:r w:rsidR="00D87D08">
        <w:t>, elle a déjà fait l’objet de simplification il y a 3 ans, l’exercice de simplification est poursuivi.</w:t>
      </w:r>
    </w:p>
    <w:p w:rsidR="00D87D08" w:rsidRDefault="00D87D08" w:rsidP="000E05AA">
      <w:r>
        <w:t>Sur l’aérien, les points remontés son</w:t>
      </w:r>
      <w:r w:rsidR="00FB0B86">
        <w:t>t</w:t>
      </w:r>
      <w:r>
        <w:t xml:space="preserve"> effectivement des sujets de travail et d’attention chez Orange, il y a une poursuite de l’amélioration de l’offre dans le cadre des échanges en multilatérales et avec les opérateurs.</w:t>
      </w:r>
    </w:p>
    <w:p w:rsidR="00D87D08" w:rsidRDefault="00D87D08" w:rsidP="00D87D08">
      <w:r>
        <w:t xml:space="preserve">Pour les suivis, des indicateurs ont été mis en place à la suite de la précédente </w:t>
      </w:r>
      <w:r w:rsidR="009D0301">
        <w:t>analyse de marché.</w:t>
      </w:r>
    </w:p>
    <w:p w:rsidR="00FB0B86" w:rsidRDefault="00FB0B86" w:rsidP="00FB0B86">
      <w:r w:rsidRPr="000013B1">
        <w:t>Orange</w:t>
      </w:r>
      <w:r>
        <w:t>, concernant le génie civil, rejoint les problématiques d’harmonisation des règles et souhaite la mise en place de règles communes à Orange et aux autres détenteurs d’infrastructures. Orange s’interroge sur la manière de parvenir à des règles communes avec les mêmes niveaux de simplicité pour l’ensemble des détenteurs d’infrastructures tout en prenant en compte la régulation asymétrique imposée à Orange.</w:t>
      </w:r>
    </w:p>
    <w:p w:rsidR="00CB0D6A" w:rsidRDefault="00CB0D6A" w:rsidP="000E05AA"/>
    <w:p w:rsidR="00DC3550" w:rsidRDefault="00D87D08" w:rsidP="000E05AA">
      <w:pPr>
        <w:pStyle w:val="Titre3"/>
      </w:pPr>
      <w:r>
        <w:t>Entreprises</w:t>
      </w:r>
    </w:p>
    <w:p w:rsidR="00D87D08" w:rsidRDefault="004B511B" w:rsidP="00D87D08">
      <w:r>
        <w:t xml:space="preserve">La </w:t>
      </w:r>
      <w:r w:rsidR="009062D2" w:rsidRPr="004B511B">
        <w:rPr>
          <w:b/>
        </w:rPr>
        <w:t>FNCCR</w:t>
      </w:r>
      <w:r>
        <w:t xml:space="preserve"> se dit</w:t>
      </w:r>
      <w:r w:rsidR="009062D2">
        <w:t xml:space="preserve"> favorable à l’arrivée d’un </w:t>
      </w:r>
      <w:r>
        <w:t>troisième ac</w:t>
      </w:r>
      <w:r w:rsidR="009062D2">
        <w:t>t</w:t>
      </w:r>
      <w:r>
        <w:t>e</w:t>
      </w:r>
      <w:r w:rsidR="009062D2">
        <w:t>ur</w:t>
      </w:r>
      <w:r>
        <w:t>,</w:t>
      </w:r>
      <w:r w:rsidR="009062D2">
        <w:t xml:space="preserve"> opérateur de gros</w:t>
      </w:r>
      <w:r>
        <w:t>,</w:t>
      </w:r>
      <w:r w:rsidR="009062D2">
        <w:t xml:space="preserve"> </w:t>
      </w:r>
      <w:r>
        <w:t>sur</w:t>
      </w:r>
      <w:r w:rsidR="009062D2">
        <w:t xml:space="preserve"> </w:t>
      </w:r>
      <w:r>
        <w:t>l’</w:t>
      </w:r>
      <w:r w:rsidR="009062D2">
        <w:t>entreprise qui pourrait s’appuyer sur les RIP</w:t>
      </w:r>
      <w:r w:rsidR="009D0301">
        <w:t>. Une telle situation offrirait</w:t>
      </w:r>
      <w:r w:rsidR="009062D2">
        <w:t xml:space="preserve"> une autre </w:t>
      </w:r>
      <w:r>
        <w:t>possibilité à</w:t>
      </w:r>
      <w:r w:rsidR="009062D2">
        <w:t xml:space="preserve"> des opérateurs de </w:t>
      </w:r>
      <w:r>
        <w:t>proximité</w:t>
      </w:r>
      <w:r w:rsidR="009062D2">
        <w:t xml:space="preserve"> ciblant le marché entreprise et subissant des </w:t>
      </w:r>
      <w:r>
        <w:t>pratiques</w:t>
      </w:r>
      <w:r w:rsidR="009062D2">
        <w:t xml:space="preserve"> anti-concurrentiel</w:t>
      </w:r>
      <w:r w:rsidR="009D0301">
        <w:t>le</w:t>
      </w:r>
      <w:r w:rsidR="00284E4F">
        <w:t>s</w:t>
      </w:r>
      <w:r w:rsidR="009062D2">
        <w:t xml:space="preserve"> de la part du </w:t>
      </w:r>
      <w:r>
        <w:t>duopol</w:t>
      </w:r>
      <w:r w:rsidR="009D0301">
        <w:t>e.</w:t>
      </w:r>
    </w:p>
    <w:p w:rsidR="009062D2" w:rsidRDefault="00E42B3A" w:rsidP="00D87D08">
      <w:r>
        <w:t xml:space="preserve">Concernant les enjeux de </w:t>
      </w:r>
      <w:r w:rsidR="004B511B">
        <w:t xml:space="preserve">l’outre-mer et </w:t>
      </w:r>
      <w:r>
        <w:t>d</w:t>
      </w:r>
      <w:r w:rsidR="004B511B">
        <w:t xml:space="preserve">es câbles sous-marins, les collectivités des Antilles adhérentes </w:t>
      </w:r>
      <w:r w:rsidR="00284E4F">
        <w:t xml:space="preserve">porteuses de RIP </w:t>
      </w:r>
      <w:r w:rsidR="004B511B">
        <w:t>ne constatent pas des baisses de tarifs. La FNCCR s’interroge sur la proposition visant à lever la régulation asymétrique.</w:t>
      </w:r>
    </w:p>
    <w:p w:rsidR="004B511B" w:rsidRDefault="004B511B" w:rsidP="00D87D08"/>
    <w:p w:rsidR="000F5E19" w:rsidRPr="00E80080" w:rsidRDefault="000F5E19" w:rsidP="000F5E19">
      <w:r>
        <w:t>Concernant l’offre FttE, l</w:t>
      </w:r>
      <w:r w:rsidR="004B511B">
        <w:t>’</w:t>
      </w:r>
      <w:r w:rsidR="004B511B" w:rsidRPr="00F54278">
        <w:rPr>
          <w:b/>
        </w:rPr>
        <w:t xml:space="preserve">Agence du numérique </w:t>
      </w:r>
      <w:r>
        <w:t>est</w:t>
      </w:r>
      <w:r w:rsidR="004B511B">
        <w:t xml:space="preserve"> </w:t>
      </w:r>
      <w:r w:rsidR="004B3DEB">
        <w:t>attentive</w:t>
      </w:r>
      <w:r w:rsidR="004B511B">
        <w:t xml:space="preserve"> aux consensus </w:t>
      </w:r>
      <w:r>
        <w:t xml:space="preserve">et éventuelles recommandations </w:t>
      </w:r>
      <w:r w:rsidR="004B511B">
        <w:t xml:space="preserve">qui pourront émerger des travaux de l’Arcep </w:t>
      </w:r>
      <w:r>
        <w:t>ainsi qu’aux</w:t>
      </w:r>
      <w:r w:rsidR="004B511B">
        <w:t xml:space="preserve"> choix des opérateurs d’infrastructure intervenant dans les collectivités. </w:t>
      </w:r>
    </w:p>
    <w:p w:rsidR="000F5E19" w:rsidRPr="00E80080" w:rsidRDefault="000F5E19" w:rsidP="000F5E19">
      <w:r w:rsidRPr="00E80080">
        <w:t>Elle ne se prononce pas à ce stade sur une architecture ou un niveau tarifaire pour les offres FttE, y compris dans le cadre de ses recommandations tarifaires sur la base des lignes directrices de l’Arcep.</w:t>
      </w:r>
    </w:p>
    <w:p w:rsidR="004B511B" w:rsidRDefault="004B3DEB" w:rsidP="00D87D08">
      <w:r>
        <w:t>L’Agence</w:t>
      </w:r>
      <w:r w:rsidR="000F5E19">
        <w:t xml:space="preserve"> souligne toutefois qu’elle</w:t>
      </w:r>
      <w:r>
        <w:t xml:space="preserve"> identifie u</w:t>
      </w:r>
      <w:r w:rsidR="004B511B">
        <w:t xml:space="preserve">n vrai besoin de connectivité des entreprises dans le </w:t>
      </w:r>
      <w:r>
        <w:t>cadre</w:t>
      </w:r>
      <w:r w:rsidR="004B511B">
        <w:t xml:space="preserve"> des projets THD des territoires</w:t>
      </w:r>
      <w:r>
        <w:t xml:space="preserve"> </w:t>
      </w:r>
      <w:r w:rsidR="000F5E19">
        <w:t xml:space="preserve">auquel elle </w:t>
      </w:r>
      <w:r>
        <w:t xml:space="preserve">propose </w:t>
      </w:r>
      <w:r w:rsidR="000F5E19">
        <w:t xml:space="preserve">notamment de répondre par les déploiements </w:t>
      </w:r>
      <w:r>
        <w:t>de</w:t>
      </w:r>
      <w:r w:rsidR="004B511B">
        <w:t xml:space="preserve"> </w:t>
      </w:r>
      <w:r>
        <w:t>« </w:t>
      </w:r>
      <w:r w:rsidR="004B511B">
        <w:t>pré-BLOM</w:t>
      </w:r>
      <w:r>
        <w:t> »</w:t>
      </w:r>
      <w:r w:rsidR="000F5E19">
        <w:t>,</w:t>
      </w:r>
      <w:r w:rsidR="004B511B">
        <w:t xml:space="preserve"> </w:t>
      </w:r>
      <w:r>
        <w:t>qui consiste à anticiper le déploiement de la BLOM en desservant des entreprises et des sites prioritaires avec des liens dédiés en anticipant l’implantation du SRO, futur PM réglementaire.</w:t>
      </w:r>
    </w:p>
    <w:p w:rsidR="000F5E19" w:rsidRPr="00E80080" w:rsidRDefault="000F5E19" w:rsidP="000F5E19">
      <w:r w:rsidRPr="00E80080">
        <w:t>Dans ce contexte, l’Agence accueillera favorablement les choix d’ingénierie et de tarification pour l’offre FttE compatible avec ce dispositif. Elle note que l’offre d’Orange semble compatible en ce sens.</w:t>
      </w:r>
    </w:p>
    <w:p w:rsidR="00C31295" w:rsidRDefault="00C31295" w:rsidP="000E05AA"/>
    <w:p w:rsidR="00A8258A" w:rsidRDefault="00A8258A" w:rsidP="000E05AA">
      <w:r w:rsidRPr="00B17B41">
        <w:rPr>
          <w:b/>
        </w:rPr>
        <w:t>Altitude</w:t>
      </w:r>
      <w:r>
        <w:t xml:space="preserve"> se dit favorable à l’arrivée d’un troisième acteur</w:t>
      </w:r>
      <w:r w:rsidR="00B17B41">
        <w:t>,</w:t>
      </w:r>
      <w:r>
        <w:t xml:space="preserve"> d’autant plus que l’acteur pré-identifié se positionne sur un marché intermédiaire</w:t>
      </w:r>
      <w:r w:rsidR="009D0301">
        <w:t>. Celui-ci</w:t>
      </w:r>
      <w:r>
        <w:t xml:space="preserve"> pourrait souscrire </w:t>
      </w:r>
      <w:r w:rsidR="009D0301">
        <w:t xml:space="preserve">à </w:t>
      </w:r>
      <w:r>
        <w:t>des offres passives</w:t>
      </w:r>
      <w:r w:rsidR="00893E88">
        <w:t>, notamment proposées par des RIP,</w:t>
      </w:r>
      <w:r>
        <w:t xml:space="preserve"> pour reproduire un marché activé à plus grande échelle</w:t>
      </w:r>
      <w:r w:rsidR="00EC22C2">
        <w:t>.</w:t>
      </w:r>
    </w:p>
    <w:p w:rsidR="00A8258A" w:rsidRDefault="00EC22C2" w:rsidP="000E05AA">
      <w:r>
        <w:t xml:space="preserve">Concernant </w:t>
      </w:r>
      <w:r w:rsidR="00A8258A">
        <w:t xml:space="preserve">le FttE, </w:t>
      </w:r>
      <w:r w:rsidR="00B17B41">
        <w:t xml:space="preserve">l’opérateur est </w:t>
      </w:r>
      <w:r w:rsidR="00A8258A">
        <w:t xml:space="preserve">convaincu que ce marché est nécessaire pour étendre le périmètre des offres aujourd’hui produites sur </w:t>
      </w:r>
      <w:r>
        <w:t xml:space="preserve">fibre </w:t>
      </w:r>
      <w:r w:rsidR="00A8258A">
        <w:t>et pour trouver un relai au SDSL et à l’ADSL+. Pour Altitude</w:t>
      </w:r>
      <w:r w:rsidR="009D0301">
        <w:t>,</w:t>
      </w:r>
      <w:r w:rsidR="00A8258A">
        <w:t xml:space="preserve"> il existe de vraies alternatives entre le haut du marché et le bas de marché</w:t>
      </w:r>
      <w:r w:rsidR="00B17B41">
        <w:t>,</w:t>
      </w:r>
      <w:r w:rsidR="00A8258A">
        <w:t xml:space="preserve"> pouvant passer notamment par le FttE</w:t>
      </w:r>
      <w:r w:rsidR="00B17B41">
        <w:t>,</w:t>
      </w:r>
      <w:r w:rsidR="00A8258A">
        <w:t xml:space="preserve"> et par une forme de FttH renforcé </w:t>
      </w:r>
      <w:r>
        <w:t>s’inscrivant</w:t>
      </w:r>
      <w:r w:rsidR="00BB38E7">
        <w:t xml:space="preserve"> dans</w:t>
      </w:r>
      <w:r w:rsidR="00A8258A">
        <w:t xml:space="preserve"> le cadre du co-financement. </w:t>
      </w:r>
    </w:p>
    <w:p w:rsidR="00B17B41" w:rsidRDefault="00B17B41" w:rsidP="000E05AA"/>
    <w:p w:rsidR="00B872B9" w:rsidRDefault="00B872B9" w:rsidP="000E05AA"/>
    <w:p w:rsidR="006C2446" w:rsidRDefault="006C2446" w:rsidP="000E05AA">
      <w:r>
        <w:t xml:space="preserve">Le </w:t>
      </w:r>
      <w:r w:rsidRPr="00106B8C">
        <w:rPr>
          <w:b/>
        </w:rPr>
        <w:t>conseil départemental de Saône-et-Loire</w:t>
      </w:r>
      <w:r>
        <w:t xml:space="preserve"> </w:t>
      </w:r>
      <w:r w:rsidR="00106B8C">
        <w:t>indique avoir</w:t>
      </w:r>
      <w:r>
        <w:t xml:space="preserve"> des interrogations concernant</w:t>
      </w:r>
      <w:r w:rsidR="00106B8C">
        <w:t xml:space="preserve"> essentiellement</w:t>
      </w:r>
      <w:r>
        <w:t xml:space="preserve"> l’architecture du réseau</w:t>
      </w:r>
      <w:r w:rsidR="00106B8C">
        <w:t xml:space="preserve"> FttE.</w:t>
      </w:r>
    </w:p>
    <w:p w:rsidR="006C2446" w:rsidRDefault="006C2446" w:rsidP="000E05AA"/>
    <w:p w:rsidR="006C2446" w:rsidRDefault="006C2446" w:rsidP="000E05AA">
      <w:r w:rsidRPr="00106B8C">
        <w:rPr>
          <w:b/>
        </w:rPr>
        <w:t>Mayenne THD</w:t>
      </w:r>
      <w:r>
        <w:t xml:space="preserve"> s’interroge s</w:t>
      </w:r>
      <w:r w:rsidR="00106B8C">
        <w:t>u</w:t>
      </w:r>
      <w:r>
        <w:t>r les notions de capacités de fibre</w:t>
      </w:r>
      <w:r w:rsidR="009D4A13">
        <w:t>s</w:t>
      </w:r>
      <w:r>
        <w:t xml:space="preserve"> et de </w:t>
      </w:r>
      <w:r w:rsidR="00F73818">
        <w:t>surcapacités</w:t>
      </w:r>
      <w:r>
        <w:t xml:space="preserve"> de </w:t>
      </w:r>
      <w:r w:rsidR="00F73818">
        <w:t>dimensionnement</w:t>
      </w:r>
      <w:r>
        <w:t xml:space="preserve"> </w:t>
      </w:r>
      <w:r w:rsidR="00106B8C">
        <w:t xml:space="preserve">afin de pouvoir déterminer </w:t>
      </w:r>
      <w:r w:rsidR="00F73818">
        <w:t>quelles</w:t>
      </w:r>
      <w:r>
        <w:t xml:space="preserve"> devront être les capacités à </w:t>
      </w:r>
      <w:r w:rsidR="00106B8C">
        <w:t>prévoir</w:t>
      </w:r>
      <w:r>
        <w:t xml:space="preserve"> sur les différents segments.</w:t>
      </w:r>
    </w:p>
    <w:p w:rsidR="006C2446" w:rsidRDefault="006C2446" w:rsidP="000E05AA"/>
    <w:p w:rsidR="000F71E1" w:rsidRDefault="0076439F" w:rsidP="000E05AA">
      <w:r>
        <w:lastRenderedPageBreak/>
        <w:t>Les services de l’Arcep</w:t>
      </w:r>
      <w:r w:rsidR="006C2446">
        <w:t xml:space="preserve"> </w:t>
      </w:r>
      <w:r w:rsidR="00410D78">
        <w:t xml:space="preserve">indiquent </w:t>
      </w:r>
      <w:r w:rsidR="00106B8C">
        <w:t>ne jamais avoir</w:t>
      </w:r>
      <w:r w:rsidR="006C2446">
        <w:t xml:space="preserve"> </w:t>
      </w:r>
      <w:r w:rsidR="00F73818">
        <w:t>préconisé</w:t>
      </w:r>
      <w:r w:rsidR="006C2446">
        <w:t xml:space="preserve"> de </w:t>
      </w:r>
      <w:r w:rsidR="00F73818">
        <w:t>dimensionnement</w:t>
      </w:r>
      <w:r w:rsidR="00583FAC">
        <w:t xml:space="preserve">. </w:t>
      </w:r>
      <w:r w:rsidR="00230FFF">
        <w:t>L’Autorité indique qu’il y a eu des échanges sur la question</w:t>
      </w:r>
      <w:r w:rsidR="00583FAC">
        <w:t xml:space="preserve"> </w:t>
      </w:r>
      <w:r w:rsidR="00230FFF">
        <w:t>lors d’une</w:t>
      </w:r>
      <w:r w:rsidR="00583FAC">
        <w:t xml:space="preserve"> réunion sur l’</w:t>
      </w:r>
      <w:r w:rsidR="00C90C64">
        <w:t>hébergement</w:t>
      </w:r>
      <w:r w:rsidR="00BB38E7">
        <w:t xml:space="preserve"> des</w:t>
      </w:r>
      <w:r w:rsidR="00230FFF">
        <w:t xml:space="preserve"> NRO. L</w:t>
      </w:r>
      <w:r w:rsidR="00C90C64">
        <w:t>a M</w:t>
      </w:r>
      <w:r w:rsidR="00583FAC">
        <w:t xml:space="preserve">THD </w:t>
      </w:r>
      <w:r w:rsidR="00230FFF">
        <w:t>propose ainsi</w:t>
      </w:r>
      <w:r w:rsidR="00583FAC">
        <w:t xml:space="preserve"> un </w:t>
      </w:r>
      <w:r w:rsidR="00527C58">
        <w:t>dimensionnement</w:t>
      </w:r>
      <w:r w:rsidR="00583FAC">
        <w:t xml:space="preserve"> à 20</w:t>
      </w:r>
      <w:r w:rsidR="008E7A5A">
        <w:t> </w:t>
      </w:r>
      <w:r w:rsidR="00583FAC">
        <w:t>%</w:t>
      </w:r>
      <w:r w:rsidR="00C90C64">
        <w:t xml:space="preserve"> </w:t>
      </w:r>
      <w:r w:rsidR="00230FFF">
        <w:t>de la zone</w:t>
      </w:r>
      <w:r w:rsidR="009D4A13">
        <w:t xml:space="preserve"> </w:t>
      </w:r>
      <w:r w:rsidR="00230FFF">
        <w:t>arrière</w:t>
      </w:r>
      <w:r w:rsidR="00C90C64">
        <w:t xml:space="preserve"> pour le segment</w:t>
      </w:r>
      <w:r w:rsidR="000F71E1">
        <w:t xml:space="preserve"> NRO-PM.</w:t>
      </w:r>
      <w:r w:rsidR="00C90C64">
        <w:t xml:space="preserve"> </w:t>
      </w:r>
      <w:r w:rsidR="000F71E1">
        <w:t>Du côté</w:t>
      </w:r>
      <w:r w:rsidR="00230FFF">
        <w:t xml:space="preserve"> de l’</w:t>
      </w:r>
      <w:r w:rsidR="00C90C64">
        <w:t xml:space="preserve">Arcep, </w:t>
      </w:r>
      <w:r w:rsidR="000F71E1">
        <w:t>la</w:t>
      </w:r>
      <w:r w:rsidR="00C90C64">
        <w:t xml:space="preserve"> proposition</w:t>
      </w:r>
      <w:r w:rsidR="000F71E1">
        <w:t xml:space="preserve"> s’oriente vers</w:t>
      </w:r>
      <w:r w:rsidR="00C90C64">
        <w:t xml:space="preserve"> 10</w:t>
      </w:r>
      <w:r w:rsidR="008E7A5A">
        <w:t> </w:t>
      </w:r>
      <w:r w:rsidR="00C90C64">
        <w:t xml:space="preserve">% pour le généraliste mais </w:t>
      </w:r>
      <w:r w:rsidR="000F71E1">
        <w:t>ne se prononce pas</w:t>
      </w:r>
      <w:r w:rsidR="00C90C64">
        <w:t xml:space="preserve"> sur la partie entreprise. </w:t>
      </w:r>
    </w:p>
    <w:p w:rsidR="000F71E1" w:rsidRDefault="000F71E1" w:rsidP="000E05AA">
      <w:r>
        <w:t xml:space="preserve">Parmi les retours, </w:t>
      </w:r>
      <w:r w:rsidR="00C90C64">
        <w:t>les acteurs publics se situent entre 10% sur le généraliste pur et 20% pour l’ensemble des besoins pour le NRO-PM</w:t>
      </w:r>
      <w:r w:rsidR="00527C58">
        <w:t xml:space="preserve">. Coté </w:t>
      </w:r>
      <w:r>
        <w:t xml:space="preserve">opérateurs, ils </w:t>
      </w:r>
      <w:r w:rsidR="00527C58">
        <w:t xml:space="preserve">se situent </w:t>
      </w:r>
      <w:r>
        <w:t>davantage</w:t>
      </w:r>
      <w:r w:rsidR="00527C58">
        <w:t xml:space="preserve"> entre 10 et 15%. </w:t>
      </w:r>
    </w:p>
    <w:p w:rsidR="006C2446" w:rsidRDefault="0076439F" w:rsidP="000E05AA">
      <w:r>
        <w:t>Les services de l’Arcep</w:t>
      </w:r>
      <w:r w:rsidR="000F71E1">
        <w:t xml:space="preserve"> indique</w:t>
      </w:r>
      <w:r w:rsidR="00410D78">
        <w:t>nt</w:t>
      </w:r>
      <w:r w:rsidR="000F71E1">
        <w:t xml:space="preserve"> qu’il est peu probable qu’elle</w:t>
      </w:r>
      <w:r w:rsidR="00527C58">
        <w:t xml:space="preserve"> se positionne fermement su</w:t>
      </w:r>
      <w:r w:rsidR="00DB1B36">
        <w:t>r</w:t>
      </w:r>
      <w:r w:rsidR="00527C58">
        <w:t xml:space="preserve"> un </w:t>
      </w:r>
      <w:r w:rsidR="00DB1B36">
        <w:t>dimensionnement</w:t>
      </w:r>
      <w:r w:rsidR="00BB38E7">
        <w:t>,</w:t>
      </w:r>
      <w:r w:rsidR="00527C58">
        <w:t xml:space="preserve"> les opérateurs </w:t>
      </w:r>
      <w:r w:rsidR="00DB1B36">
        <w:t xml:space="preserve">étant </w:t>
      </w:r>
      <w:r w:rsidR="00527C58">
        <w:t>libres de dimensionner le</w:t>
      </w:r>
      <w:r w:rsidR="00DB1B36">
        <w:t>ur</w:t>
      </w:r>
      <w:r w:rsidR="00527C58">
        <w:t xml:space="preserve"> réseau.</w:t>
      </w:r>
    </w:p>
    <w:p w:rsidR="00527C58" w:rsidRDefault="00527C58" w:rsidP="000E05AA"/>
    <w:p w:rsidR="00DB1B36" w:rsidRDefault="00DB1B36" w:rsidP="000E05AA">
      <w:r w:rsidRPr="00DB5CC4">
        <w:rPr>
          <w:b/>
        </w:rPr>
        <w:t>Doubs THD</w:t>
      </w:r>
      <w:r>
        <w:t xml:space="preserve"> </w:t>
      </w:r>
      <w:r w:rsidR="00DB5CC4">
        <w:t>est favorable à</w:t>
      </w:r>
      <w:r>
        <w:t xml:space="preserve"> l’</w:t>
      </w:r>
      <w:r w:rsidR="00DB5CC4">
        <w:t>arrivée</w:t>
      </w:r>
      <w:r>
        <w:t xml:space="preserve"> </w:t>
      </w:r>
      <w:r w:rsidR="00DB5CC4">
        <w:t>d’</w:t>
      </w:r>
      <w:r>
        <w:t xml:space="preserve">un </w:t>
      </w:r>
      <w:r w:rsidR="00DB5CC4">
        <w:t>troisième</w:t>
      </w:r>
      <w:r>
        <w:t xml:space="preserve"> acteur </w:t>
      </w:r>
      <w:r w:rsidR="00DB5CC4">
        <w:t>mais s’inquiète néanmoins de</w:t>
      </w:r>
      <w:r>
        <w:t xml:space="preserve"> la </w:t>
      </w:r>
      <w:r w:rsidR="00DB5CC4">
        <w:t>capacité</w:t>
      </w:r>
      <w:r>
        <w:t xml:space="preserve"> des </w:t>
      </w:r>
      <w:r w:rsidR="00DB5CC4">
        <w:t>entreprises</w:t>
      </w:r>
      <w:r>
        <w:t xml:space="preserve"> </w:t>
      </w:r>
      <w:r w:rsidR="00DB5CC4">
        <w:t>à pouvoir résilier leurs contrats au vu des montants d’indemnisations de sorties de contrat</w:t>
      </w:r>
      <w:r>
        <w:t xml:space="preserve">. </w:t>
      </w:r>
      <w:r w:rsidR="00DB5CC4">
        <w:t>Pour le syndicat mixte</w:t>
      </w:r>
      <w:r w:rsidR="00BB38E7">
        <w:t>,</w:t>
      </w:r>
      <w:r w:rsidR="00DB5CC4">
        <w:t xml:space="preserve"> c’est un élément à prendre en compte dans la</w:t>
      </w:r>
      <w:r>
        <w:t xml:space="preserve"> </w:t>
      </w:r>
      <w:r w:rsidR="00DB5CC4">
        <w:t>capacité</w:t>
      </w:r>
      <w:r>
        <w:t xml:space="preserve"> des </w:t>
      </w:r>
      <w:r w:rsidR="00DB5CC4">
        <w:t>entreprises</w:t>
      </w:r>
      <w:r>
        <w:t xml:space="preserve"> à changer de fournisseur.</w:t>
      </w:r>
    </w:p>
    <w:p w:rsidR="00DB1B36" w:rsidRDefault="00DB5CC4" w:rsidP="000E05AA">
      <w:r>
        <w:t xml:space="preserve">Pour le syndicat mixte, concevoir </w:t>
      </w:r>
      <w:r w:rsidR="00DB1B36">
        <w:t xml:space="preserve">une pré-BLOM </w:t>
      </w:r>
      <w:r>
        <w:t>pour le FttE pose</w:t>
      </w:r>
      <w:r w:rsidR="009D0301">
        <w:t xml:space="preserve"> </w:t>
      </w:r>
      <w:r w:rsidR="007D33F8">
        <w:t xml:space="preserve">la </w:t>
      </w:r>
      <w:r w:rsidR="009D0301">
        <w:t>question d</w:t>
      </w:r>
      <w:r w:rsidR="007D33F8">
        <w:t>e l’</w:t>
      </w:r>
      <w:r w:rsidR="009D0301">
        <w:t>accès au génie civil</w:t>
      </w:r>
      <w:r w:rsidR="00DB1B36">
        <w:t xml:space="preserve"> </w:t>
      </w:r>
      <w:r>
        <w:t>et particulièrement de</w:t>
      </w:r>
      <w:r w:rsidR="00DB1B36">
        <w:t xml:space="preserve"> </w:t>
      </w:r>
      <w:r w:rsidR="007D33F8">
        <w:t xml:space="preserve">la </w:t>
      </w:r>
      <w:r>
        <w:t>tarification</w:t>
      </w:r>
      <w:r w:rsidR="00DB1B36">
        <w:t xml:space="preserve"> à l’</w:t>
      </w:r>
      <w:r>
        <w:t>abonné</w:t>
      </w:r>
      <w:r w:rsidR="00DB1B36">
        <w:t xml:space="preserve"> en aval </w:t>
      </w:r>
      <w:r>
        <w:t xml:space="preserve">du </w:t>
      </w:r>
      <w:r w:rsidR="00DB1B36">
        <w:t>PM</w:t>
      </w:r>
      <w:r w:rsidR="007D33F8">
        <w:t>. Il lui parait difficilement viable de</w:t>
      </w:r>
      <w:r w:rsidR="00DB1B36">
        <w:t xml:space="preserve"> </w:t>
      </w:r>
      <w:r w:rsidR="007D33F8">
        <w:t>devoir</w:t>
      </w:r>
      <w:r>
        <w:t xml:space="preserve"> </w:t>
      </w:r>
      <w:r w:rsidR="00DB1B36">
        <w:t xml:space="preserve">payer des accès au </w:t>
      </w:r>
      <w:r w:rsidR="006019F8">
        <w:t>génie civil</w:t>
      </w:r>
      <w:r w:rsidR="00DB1B36">
        <w:t xml:space="preserve"> d’Orange sur 1</w:t>
      </w:r>
      <w:r>
        <w:t> </w:t>
      </w:r>
      <w:r w:rsidR="00DB1B36">
        <w:t xml:space="preserve">000 prises </w:t>
      </w:r>
      <w:r>
        <w:t>pour aller chercher uniquement</w:t>
      </w:r>
      <w:r w:rsidR="00DB1B36">
        <w:t xml:space="preserve"> deux entités en aval d’un PM.</w:t>
      </w:r>
    </w:p>
    <w:p w:rsidR="007D33F8" w:rsidRDefault="007D33F8" w:rsidP="000E05AA"/>
    <w:p w:rsidR="00DB1B36" w:rsidRDefault="0076439F" w:rsidP="000E05AA">
      <w:r>
        <w:t>Les services de l’Arcep</w:t>
      </w:r>
      <w:r w:rsidR="00DB1B36">
        <w:t xml:space="preserve"> rappelle</w:t>
      </w:r>
      <w:r w:rsidR="00410D78">
        <w:t>nt</w:t>
      </w:r>
      <w:r w:rsidR="00DB1B36">
        <w:t xml:space="preserve"> qu’il existe deux tarifications, celle de RCA visant un déploiement plutôt ponctuel, au volume</w:t>
      </w:r>
      <w:r w:rsidR="007D33F8">
        <w:t>,</w:t>
      </w:r>
      <w:r w:rsidR="00DB1B36">
        <w:t xml:space="preserve"> et la tarification au forfait qui vise un déploiement d’une boucle locale </w:t>
      </w:r>
      <w:r w:rsidR="00DB5CC4">
        <w:t xml:space="preserve">desservant l’ensemble des usagers et </w:t>
      </w:r>
      <w:r w:rsidR="00DB1B36">
        <w:t>qui permet d’aller chercher des entreprises pour leur proposer d’autr</w:t>
      </w:r>
      <w:r w:rsidR="00DB5CC4">
        <w:t xml:space="preserve">es offres. </w:t>
      </w:r>
    </w:p>
    <w:p w:rsidR="00DB1B36" w:rsidRDefault="00DB1B36" w:rsidP="000E05AA"/>
    <w:p w:rsidR="00A67386" w:rsidRDefault="00A67386" w:rsidP="000E05AA">
      <w:r w:rsidRPr="00A67386">
        <w:rPr>
          <w:b/>
        </w:rPr>
        <w:t>AVICCA</w:t>
      </w:r>
      <w:r>
        <w:t xml:space="preserve"> insiste sur la nécessité de ne pas imposer une ingénierie pour le FttE qui risquerait d’engendrer des surcoûts et qui auraient des conséquences </w:t>
      </w:r>
      <w:r w:rsidR="007D33F8">
        <w:t xml:space="preserve">pour </w:t>
      </w:r>
      <w:r>
        <w:t>l’utilisateur final.</w:t>
      </w:r>
    </w:p>
    <w:p w:rsidR="00A67386" w:rsidRDefault="00A67386" w:rsidP="000E05AA">
      <w:r>
        <w:t xml:space="preserve">Concernant la proposition visant à étendre la ZF1, l’AVICCA </w:t>
      </w:r>
      <w:r w:rsidR="007D33F8">
        <w:t xml:space="preserve">estime </w:t>
      </w:r>
      <w:r>
        <w:t>qu’une période transitoire sera nécessaire afin de pouvoir sauvegarder les investissements</w:t>
      </w:r>
      <w:r w:rsidR="009D4A13">
        <w:t xml:space="preserve"> des RIP</w:t>
      </w:r>
      <w:r>
        <w:t>.</w:t>
      </w:r>
    </w:p>
    <w:p w:rsidR="00A67386" w:rsidRDefault="00A67386" w:rsidP="000E05AA"/>
    <w:p w:rsidR="00A67386" w:rsidRDefault="00A67386" w:rsidP="000E05AA">
      <w:r w:rsidRPr="00A67386">
        <w:rPr>
          <w:b/>
        </w:rPr>
        <w:t>Mégalis Bretagne</w:t>
      </w:r>
      <w:r>
        <w:t xml:space="preserve"> indique être confronté à la question des câbles sous-marins</w:t>
      </w:r>
      <w:r w:rsidR="007D33F8">
        <w:t xml:space="preserve">, concernant des îles au large de la Bretagne, </w:t>
      </w:r>
      <w:r>
        <w:t>et s’interroge sur la question des calculs de coût pour qu’ils soient attractifs vis-à-vis des opérateurs dans le cadre du FttH.</w:t>
      </w:r>
    </w:p>
    <w:p w:rsidR="00A67386" w:rsidRDefault="00A67386" w:rsidP="000E05AA">
      <w:r>
        <w:t xml:space="preserve">Sur le FttE, </w:t>
      </w:r>
      <w:r w:rsidR="007D7602">
        <w:t xml:space="preserve">le syndicat mixte </w:t>
      </w:r>
      <w:r>
        <w:t xml:space="preserve">demande des précisions sur les </w:t>
      </w:r>
      <w:r w:rsidR="007D7602">
        <w:t>lignes directrices</w:t>
      </w:r>
      <w:r>
        <w:t xml:space="preserve"> de la M</w:t>
      </w:r>
      <w:r w:rsidR="006019F8">
        <w:t xml:space="preserve">ission </w:t>
      </w:r>
      <w:r>
        <w:t>THD.</w:t>
      </w:r>
    </w:p>
    <w:p w:rsidR="00D2309A" w:rsidRDefault="00D2309A" w:rsidP="000E05AA"/>
    <w:p w:rsidR="00D2309A" w:rsidRDefault="008860FA" w:rsidP="000E05AA">
      <w:r>
        <w:t xml:space="preserve">Pour le </w:t>
      </w:r>
      <w:r w:rsidR="00D2309A" w:rsidRPr="008860FA">
        <w:rPr>
          <w:b/>
        </w:rPr>
        <w:t>CEREMA</w:t>
      </w:r>
      <w:r>
        <w:t>,</w:t>
      </w:r>
      <w:r w:rsidR="00D2309A">
        <w:t xml:space="preserve"> </w:t>
      </w:r>
      <w:r>
        <w:t>ce</w:t>
      </w:r>
      <w:r w:rsidR="00D2309A">
        <w:t xml:space="preserve"> marché </w:t>
      </w:r>
      <w:r>
        <w:t xml:space="preserve">est </w:t>
      </w:r>
      <w:r w:rsidR="00D2309A">
        <w:t xml:space="preserve">porté par l’offre, il faut une action volontariste </w:t>
      </w:r>
      <w:r>
        <w:t>de la part d</w:t>
      </w:r>
      <w:r w:rsidR="00D2309A">
        <w:t xml:space="preserve">es RIP et </w:t>
      </w:r>
      <w:r>
        <w:t xml:space="preserve">de </w:t>
      </w:r>
      <w:r w:rsidR="00D2309A">
        <w:t xml:space="preserve">leur délégataire </w:t>
      </w:r>
      <w:r>
        <w:t>visant à</w:t>
      </w:r>
      <w:r w:rsidR="00D2309A">
        <w:t xml:space="preserve"> expliquer aux entreprises l’intérêt de la fibre malgré le prix. Peut-être faudrait-il trouver des canaux entre la DGE et les DIRECCTE pour sensibiliser les entreprises.</w:t>
      </w:r>
    </w:p>
    <w:p w:rsidR="00D2309A" w:rsidRDefault="00D2309A" w:rsidP="000E05AA"/>
    <w:p w:rsidR="00D2309A" w:rsidRDefault="0076439F" w:rsidP="000E05AA">
      <w:r>
        <w:t>Les services de l’Arcep</w:t>
      </w:r>
      <w:r w:rsidR="00E81315">
        <w:t xml:space="preserve"> indique</w:t>
      </w:r>
      <w:r w:rsidR="00410D78">
        <w:t>nt</w:t>
      </w:r>
      <w:r w:rsidR="00E81315">
        <w:t xml:space="preserve"> qu’avec </w:t>
      </w:r>
      <w:r w:rsidR="007D33F8">
        <w:t>la structuration à venir des offres destinées aux professionnels et aux entreprises, avec</w:t>
      </w:r>
      <w:r w:rsidR="00E81315">
        <w:t xml:space="preserve"> trois types d’offres</w:t>
      </w:r>
      <w:r w:rsidR="008860FA">
        <w:t xml:space="preserve"> </w:t>
      </w:r>
      <w:r w:rsidR="00E81315">
        <w:t>(FttH pro, FttE, FttO)</w:t>
      </w:r>
      <w:r w:rsidR="007D33F8">
        <w:t xml:space="preserve"> caractérisées par des niveaux de services différents</w:t>
      </w:r>
      <w:r w:rsidR="008860FA">
        <w:t xml:space="preserve">, </w:t>
      </w:r>
      <w:r w:rsidR="007D33F8">
        <w:t>il existe un besoin de pédagogie auprès des utilisateurs finals. Les collectivités</w:t>
      </w:r>
      <w:r w:rsidR="008860FA">
        <w:t>,</w:t>
      </w:r>
      <w:r w:rsidR="007D33F8">
        <w:t xml:space="preserve"> aux c</w:t>
      </w:r>
      <w:r w:rsidR="0032221A">
        <w:t>ôtés des acteurs du marché</w:t>
      </w:r>
      <w:r w:rsidR="007D33F8">
        <w:t>, ont un rôle de sensibilisation à jouer.</w:t>
      </w:r>
    </w:p>
    <w:p w:rsidR="00E81315" w:rsidRDefault="00E81315" w:rsidP="000E05AA"/>
    <w:p w:rsidR="00E81315" w:rsidRDefault="00E81315" w:rsidP="000E05AA">
      <w:r>
        <w:t xml:space="preserve">Le </w:t>
      </w:r>
      <w:r w:rsidRPr="008860FA">
        <w:rPr>
          <w:b/>
        </w:rPr>
        <w:t>conseil départemental de Loire-Atlantique</w:t>
      </w:r>
      <w:r>
        <w:t xml:space="preserve"> </w:t>
      </w:r>
      <w:r w:rsidR="008860FA">
        <w:t>indique avoir entamé un travail de pédagogie à destination des entreprises sur la question des diagnostics et des infrastructures, en amont du déploiement FttH. Pour ce fai</w:t>
      </w:r>
      <w:r w:rsidR="006019F8">
        <w:t>r</w:t>
      </w:r>
      <w:r w:rsidR="008860FA">
        <w:t xml:space="preserve">e, le département </w:t>
      </w:r>
      <w:r>
        <w:t>travail</w:t>
      </w:r>
      <w:r w:rsidR="009D4A13">
        <w:t>le</w:t>
      </w:r>
      <w:r>
        <w:t xml:space="preserve"> notamment </w:t>
      </w:r>
      <w:r w:rsidR="008860FA">
        <w:t xml:space="preserve">en lien </w:t>
      </w:r>
      <w:r>
        <w:t xml:space="preserve">avec les chambres consulaires et </w:t>
      </w:r>
      <w:r w:rsidR="008860FA">
        <w:t>participe</w:t>
      </w:r>
      <w:r>
        <w:t xml:space="preserve"> ainsi à leurs groupes de travail sur les sujets du numérique afin de </w:t>
      </w:r>
      <w:r w:rsidR="007D33F8">
        <w:t xml:space="preserve">développer </w:t>
      </w:r>
      <w:r>
        <w:t xml:space="preserve">les usages et </w:t>
      </w:r>
      <w:r w:rsidR="007D33F8">
        <w:t>d’identifier</w:t>
      </w:r>
      <w:r>
        <w:t xml:space="preserve"> des besoins.</w:t>
      </w:r>
    </w:p>
    <w:p w:rsidR="00E81315" w:rsidRDefault="008860FA" w:rsidP="000E05AA">
      <w:r>
        <w:t>Dans un second temps, le conseil départemental s’i</w:t>
      </w:r>
      <w:r w:rsidR="009973B2">
        <w:t>nterrog</w:t>
      </w:r>
      <w:r>
        <w:t>e</w:t>
      </w:r>
      <w:r w:rsidR="009973B2">
        <w:t xml:space="preserve"> sur les conditions de fermeture en local de la zone cuivre et des conditions de fin de vie de certaines offres qui s’appuient sur le cuivre</w:t>
      </w:r>
      <w:r w:rsidR="00514BF5">
        <w:t>.</w:t>
      </w:r>
    </w:p>
    <w:p w:rsidR="00514BF5" w:rsidRDefault="00514BF5" w:rsidP="000E05AA"/>
    <w:p w:rsidR="00D2309A" w:rsidRDefault="0076439F" w:rsidP="000E05AA">
      <w:r>
        <w:t>Les services de l’Arcep</w:t>
      </w:r>
      <w:r w:rsidR="00514BF5">
        <w:t xml:space="preserve"> indique</w:t>
      </w:r>
      <w:r w:rsidR="00410D78">
        <w:t>nt</w:t>
      </w:r>
      <w:r w:rsidR="00514BF5">
        <w:t xml:space="preserve"> interrog</w:t>
      </w:r>
      <w:r w:rsidR="003D246E">
        <w:t>er</w:t>
      </w:r>
      <w:r w:rsidR="00514BF5">
        <w:t xml:space="preserve"> les </w:t>
      </w:r>
      <w:r w:rsidR="00E25101">
        <w:t>acteurs</w:t>
      </w:r>
      <w:r w:rsidR="00CC2347">
        <w:t xml:space="preserve"> sur ce point</w:t>
      </w:r>
      <w:r w:rsidR="00514BF5">
        <w:t xml:space="preserve"> </w:t>
      </w:r>
      <w:r w:rsidR="00CC2347">
        <w:t>afin de</w:t>
      </w:r>
      <w:r w:rsidR="00514BF5">
        <w:t xml:space="preserve"> connaitre </w:t>
      </w:r>
      <w:r w:rsidR="003D246E">
        <w:t>les modalités leur apparaissant comme adéquates</w:t>
      </w:r>
      <w:r w:rsidR="00514BF5">
        <w:t xml:space="preserve">. </w:t>
      </w:r>
      <w:r w:rsidR="007D33F8">
        <w:t>L</w:t>
      </w:r>
      <w:r w:rsidR="003D246E">
        <w:t>es</w:t>
      </w:r>
      <w:r w:rsidR="007D33F8">
        <w:t xml:space="preserve"> pistes avancées et exposées dans le document « Bilan et perspectives »</w:t>
      </w:r>
      <w:r w:rsidR="003D246E">
        <w:t>,</w:t>
      </w:r>
      <w:r w:rsidR="007D33F8">
        <w:t xml:space="preserve"> identifient</w:t>
      </w:r>
      <w:r w:rsidR="003D246E">
        <w:t xml:space="preserve"> l’existence d’une offre FttE passive</w:t>
      </w:r>
      <w:r w:rsidR="007D33F8">
        <w:t xml:space="preserve"> ou activée, et l’existence de prestations de migration massives. D’ores et déjà, il semble qu’un certain nombre d’opérateurs jugent nécessaire l’existence d’une</w:t>
      </w:r>
      <w:r w:rsidR="00DE3259">
        <w:t xml:space="preserve"> offre techniquement et « tarifairement » </w:t>
      </w:r>
      <w:r w:rsidR="003D246E">
        <w:t xml:space="preserve">équivalente au SDSL. </w:t>
      </w:r>
    </w:p>
    <w:sectPr w:rsidR="00D2309A" w:rsidSect="008F7EE5">
      <w:headerReference w:type="default" r:id="rId13"/>
      <w:type w:val="continuous"/>
      <w:pgSz w:w="11906" w:h="16838" w:code="9"/>
      <w:pgMar w:top="1134" w:right="1418" w:bottom="1701" w:left="1418" w:header="1126" w:footer="85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35EE" w:rsidRDefault="002135EE" w:rsidP="00732BE1">
      <w:r>
        <w:separator/>
      </w:r>
    </w:p>
    <w:p w:rsidR="002135EE" w:rsidRDefault="002135EE" w:rsidP="00732BE1"/>
  </w:endnote>
  <w:endnote w:type="continuationSeparator" w:id="0">
    <w:p w:rsidR="002135EE" w:rsidRDefault="002135EE" w:rsidP="00732BE1">
      <w:r>
        <w:continuationSeparator/>
      </w:r>
    </w:p>
    <w:p w:rsidR="002135EE" w:rsidRDefault="002135EE" w:rsidP="00732B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1315" w:rsidRPr="00E45502" w:rsidRDefault="00E81315" w:rsidP="00820704">
    <w:pPr>
      <w:pStyle w:val="Pieddepage"/>
      <w:tabs>
        <w:tab w:val="clear" w:pos="9639"/>
        <w:tab w:val="right" w:pos="9072"/>
      </w:tabs>
    </w:pPr>
    <w:r>
      <w:t>Arcep</w:t>
    </w:r>
    <w:r w:rsidRPr="00E45502">
      <w:tab/>
    </w:r>
    <w:r w:rsidRPr="00E45502">
      <w:fldChar w:fldCharType="begin"/>
    </w:r>
    <w:r w:rsidRPr="00E45502">
      <w:instrText xml:space="preserve"> PAGE   \* MERGEFORMAT </w:instrText>
    </w:r>
    <w:r w:rsidRPr="00E45502">
      <w:fldChar w:fldCharType="separate"/>
    </w:r>
    <w:r w:rsidR="00BB0E75">
      <w:rPr>
        <w:noProof/>
      </w:rPr>
      <w:t>1</w:t>
    </w:r>
    <w:r w:rsidRPr="00E45502">
      <w:fldChar w:fldCharType="end"/>
    </w:r>
    <w:r w:rsidRPr="00E45502">
      <w:t>/</w:t>
    </w:r>
    <w:fldSimple w:instr=" NUMPAGES   \* MERGEFORMAT ">
      <w:r w:rsidR="00BB0E75">
        <w:rPr>
          <w:noProof/>
        </w:rPr>
        <w:t>11</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1315" w:rsidRPr="006D7393" w:rsidRDefault="00E81315" w:rsidP="00820704">
    <w:pPr>
      <w:pStyle w:val="Pieddepage"/>
      <w:tabs>
        <w:tab w:val="clear" w:pos="9639"/>
        <w:tab w:val="right" w:pos="9072"/>
      </w:tabs>
    </w:pPr>
    <w:r>
      <w:t>Arcep-Direction-référence de la note</w:t>
    </w:r>
    <w:r w:rsidRPr="006D7393">
      <w:tab/>
    </w:r>
    <w:r w:rsidRPr="006D7393">
      <w:fldChar w:fldCharType="begin"/>
    </w:r>
    <w:r w:rsidRPr="006D7393">
      <w:instrText xml:space="preserve"> PAGE   \* MERGEFORMAT </w:instrText>
    </w:r>
    <w:r w:rsidRPr="006D7393">
      <w:fldChar w:fldCharType="separate"/>
    </w:r>
    <w:r>
      <w:rPr>
        <w:noProof/>
      </w:rPr>
      <w:t>1</w:t>
    </w:r>
    <w:r w:rsidRPr="006D7393">
      <w:fldChar w:fldCharType="end"/>
    </w:r>
    <w:r w:rsidRPr="006D7393">
      <w:t>/</w:t>
    </w:r>
    <w:fldSimple w:instr=" NUMPAGES   \* MERGEFORMAT ">
      <w:r>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35EE" w:rsidRDefault="002135EE" w:rsidP="00732BE1">
      <w:r>
        <w:separator/>
      </w:r>
    </w:p>
    <w:p w:rsidR="002135EE" w:rsidRDefault="002135EE" w:rsidP="00732BE1"/>
  </w:footnote>
  <w:footnote w:type="continuationSeparator" w:id="0">
    <w:p w:rsidR="002135EE" w:rsidRDefault="002135EE" w:rsidP="00732BE1">
      <w:r>
        <w:continuationSeparator/>
      </w:r>
    </w:p>
    <w:p w:rsidR="002135EE" w:rsidRDefault="002135EE" w:rsidP="00732BE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1315" w:rsidRDefault="00E81315">
    <w:pPr>
      <w:pStyle w:val="En-tte"/>
    </w:pPr>
    <w:r>
      <w:rPr>
        <w:noProof/>
        <w:lang w:eastAsia="fr-FR"/>
      </w:rPr>
      <w:drawing>
        <wp:anchor distT="0" distB="0" distL="114300" distR="114300" simplePos="0" relativeHeight="251659264" behindDoc="0" locked="0" layoutInCell="1" allowOverlap="1" wp14:anchorId="236EAFD6" wp14:editId="685C701E">
          <wp:simplePos x="0" y="0"/>
          <wp:positionH relativeFrom="column">
            <wp:posOffset>-267335</wp:posOffset>
          </wp:positionH>
          <wp:positionV relativeFrom="paragraph">
            <wp:posOffset>-570865</wp:posOffset>
          </wp:positionV>
          <wp:extent cx="1747520" cy="782320"/>
          <wp:effectExtent l="0" t="0" r="0" b="0"/>
          <wp:wrapTopAndBottom/>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Arcep.png"/>
                  <pic:cNvPicPr/>
                </pic:nvPicPr>
                <pic:blipFill>
                  <a:blip r:embed="rId1">
                    <a:extLst>
                      <a:ext uri="{28A0092B-C50C-407E-A947-70E740481C1C}">
                        <a14:useLocalDpi xmlns:a14="http://schemas.microsoft.com/office/drawing/2010/main" val="0"/>
                      </a:ext>
                    </a:extLst>
                  </a:blip>
                  <a:stretch>
                    <a:fillRect/>
                  </a:stretch>
                </pic:blipFill>
                <pic:spPr>
                  <a:xfrm>
                    <a:off x="0" y="0"/>
                    <a:ext cx="1747520" cy="78232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1315" w:rsidRPr="00A14888" w:rsidRDefault="00E81315" w:rsidP="003052EB">
    <w:pPr>
      <w:pStyle w:val="En-tte"/>
      <w:tabs>
        <w:tab w:val="clear" w:pos="4513"/>
        <w:tab w:val="clear" w:pos="9026"/>
      </w:tabs>
      <w:jc w:val="center"/>
      <w:rPr>
        <w:rFonts w:cstheme="minorHAnsi"/>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1315" w:rsidRDefault="00E81315">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511142"/>
    <w:multiLevelType w:val="multilevel"/>
    <w:tmpl w:val="ADC0309A"/>
    <w:lvl w:ilvl="0">
      <w:start w:val="1"/>
      <w:numFmt w:val="decimal"/>
      <w:pStyle w:val="Titre1"/>
      <w:lvlText w:val="%1"/>
      <w:lvlJc w:val="left"/>
      <w:pPr>
        <w:ind w:left="432" w:hanging="432"/>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2156" w:hanging="1021"/>
      </w:pPr>
      <w:rPr>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Titre4"/>
      <w:lvlText w:val="%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
    <w:nsid w:val="21D34A54"/>
    <w:multiLevelType w:val="hybridMultilevel"/>
    <w:tmpl w:val="1B62F892"/>
    <w:lvl w:ilvl="0" w:tplc="BAC803E6">
      <w:start w:val="101"/>
      <w:numFmt w:val="bullet"/>
      <w:pStyle w:val="Listepuces"/>
      <w:lvlText w:val="-"/>
      <w:lvlJc w:val="left"/>
      <w:pPr>
        <w:ind w:left="720" w:hanging="360"/>
      </w:pPr>
      <w:rPr>
        <w:rFonts w:asciiTheme="minorHAnsi" w:hAnsiTheme="minorHAnsi" w:cs="Times New Roman" w:hint="default"/>
        <w:color w:val="232253" w:themeColor="text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280156E2"/>
    <w:multiLevelType w:val="multilevel"/>
    <w:tmpl w:val="31E45CB8"/>
    <w:name w:val="Liste numérotée ARCEP"/>
    <w:lvl w:ilvl="0">
      <w:start w:val="1"/>
      <w:numFmt w:val="decimal"/>
      <w:pStyle w:val="Listenumros"/>
      <w:lvlText w:val="%1."/>
      <w:lvlJc w:val="left"/>
      <w:pPr>
        <w:tabs>
          <w:tab w:val="num" w:pos="567"/>
        </w:tabs>
        <w:ind w:left="567" w:hanging="283"/>
      </w:pPr>
      <w:rPr>
        <w:rFonts w:hint="default"/>
        <w:color w:val="232253" w:themeColor="text2"/>
      </w:rPr>
    </w:lvl>
    <w:lvl w:ilvl="1">
      <w:start w:val="1"/>
      <w:numFmt w:val="lowerLetter"/>
      <w:lvlText w:val="%2."/>
      <w:lvlJc w:val="left"/>
      <w:pPr>
        <w:tabs>
          <w:tab w:val="num" w:pos="851"/>
        </w:tabs>
        <w:ind w:left="851" w:hanging="284"/>
      </w:pPr>
      <w:rPr>
        <w:rFonts w:hint="default"/>
        <w:color w:val="5957BA" w:themeColor="text2" w:themeTint="99"/>
      </w:rPr>
    </w:lvl>
    <w:lvl w:ilvl="2">
      <w:start w:val="1"/>
      <w:numFmt w:val="lowerLetter"/>
      <w:lvlText w:val="(%3)"/>
      <w:lvlJc w:val="left"/>
      <w:pPr>
        <w:ind w:left="908" w:hanging="170"/>
      </w:pPr>
      <w:rPr>
        <w:rFonts w:hint="default"/>
      </w:rPr>
    </w:lvl>
    <w:lvl w:ilvl="3">
      <w:start w:val="1"/>
      <w:numFmt w:val="lowerRoman"/>
      <w:lvlText w:val="(%4)"/>
      <w:lvlJc w:val="right"/>
      <w:pPr>
        <w:ind w:left="1135" w:hanging="170"/>
      </w:pPr>
      <w:rPr>
        <w:rFonts w:hint="default"/>
      </w:rPr>
    </w:lvl>
    <w:lvl w:ilvl="4">
      <w:start w:val="1"/>
      <w:numFmt w:val="decimal"/>
      <w:lvlText w:val="%5)"/>
      <w:lvlJc w:val="left"/>
      <w:pPr>
        <w:ind w:left="1362" w:hanging="170"/>
      </w:pPr>
      <w:rPr>
        <w:rFonts w:hint="default"/>
      </w:rPr>
    </w:lvl>
    <w:lvl w:ilvl="5">
      <w:start w:val="1"/>
      <w:numFmt w:val="lowerLetter"/>
      <w:lvlText w:val="%6)"/>
      <w:lvlJc w:val="left"/>
      <w:pPr>
        <w:ind w:left="1589" w:hanging="170"/>
      </w:pPr>
      <w:rPr>
        <w:rFonts w:hint="default"/>
      </w:rPr>
    </w:lvl>
    <w:lvl w:ilvl="6">
      <w:start w:val="1"/>
      <w:numFmt w:val="lowerRoman"/>
      <w:lvlText w:val="%7)"/>
      <w:lvlJc w:val="right"/>
      <w:pPr>
        <w:ind w:left="1816" w:hanging="170"/>
      </w:pPr>
      <w:rPr>
        <w:rFonts w:hint="default"/>
      </w:rPr>
    </w:lvl>
    <w:lvl w:ilvl="7">
      <w:start w:val="1"/>
      <w:numFmt w:val="lowerLetter"/>
      <w:lvlText w:val="%8."/>
      <w:lvlJc w:val="left"/>
      <w:pPr>
        <w:ind w:left="2043" w:hanging="170"/>
      </w:pPr>
      <w:rPr>
        <w:rFonts w:hint="default"/>
      </w:rPr>
    </w:lvl>
    <w:lvl w:ilvl="8">
      <w:start w:val="1"/>
      <w:numFmt w:val="lowerRoman"/>
      <w:lvlText w:val="%9."/>
      <w:lvlJc w:val="right"/>
      <w:pPr>
        <w:ind w:left="2270" w:hanging="170"/>
      </w:pPr>
      <w:rPr>
        <w:rFonts w:hint="default"/>
      </w:rPr>
    </w:lvl>
  </w:abstractNum>
  <w:abstractNum w:abstractNumId="3">
    <w:nsid w:val="3B502A85"/>
    <w:multiLevelType w:val="hybridMultilevel"/>
    <w:tmpl w:val="B3D6A7C0"/>
    <w:lvl w:ilvl="0" w:tplc="41084CEE">
      <w:numFmt w:val="bullet"/>
      <w:lvlText w:val="-"/>
      <w:lvlJc w:val="left"/>
      <w:pPr>
        <w:ind w:left="720" w:hanging="360"/>
      </w:pPr>
      <w:rPr>
        <w:rFonts w:ascii="Calibri" w:eastAsiaTheme="minorHAnsi" w:hAnsi="Calibri"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42C5492E"/>
    <w:multiLevelType w:val="multilevel"/>
    <w:tmpl w:val="3DCC48A6"/>
    <w:lvl w:ilvl="0">
      <w:start w:val="1"/>
      <w:numFmt w:val="decimal"/>
      <w:lvlText w:val="%1."/>
      <w:lvlJc w:val="left"/>
      <w:pPr>
        <w:tabs>
          <w:tab w:val="num" w:pos="567"/>
        </w:tabs>
        <w:ind w:left="567" w:hanging="283"/>
      </w:pPr>
      <w:rPr>
        <w:rFonts w:hint="default"/>
      </w:rPr>
    </w:lvl>
    <w:lvl w:ilvl="1">
      <w:start w:val="1"/>
      <w:numFmt w:val="lowerLetter"/>
      <w:pStyle w:val="Listenumros2"/>
      <w:lvlText w:val="%2."/>
      <w:lvlJc w:val="left"/>
      <w:pPr>
        <w:tabs>
          <w:tab w:val="num" w:pos="851"/>
        </w:tabs>
        <w:ind w:left="851" w:hanging="284"/>
      </w:pPr>
      <w:rPr>
        <w:rFonts w:hint="default"/>
        <w:color w:val="232253" w:themeColor="text2"/>
      </w:rPr>
    </w:lvl>
    <w:lvl w:ilvl="2">
      <w:start w:val="1"/>
      <w:numFmt w:val="lowerLetter"/>
      <w:lvlText w:val="(%3)"/>
      <w:lvlJc w:val="left"/>
      <w:pPr>
        <w:ind w:left="908" w:hanging="170"/>
      </w:pPr>
      <w:rPr>
        <w:rFonts w:hint="default"/>
      </w:rPr>
    </w:lvl>
    <w:lvl w:ilvl="3">
      <w:start w:val="1"/>
      <w:numFmt w:val="lowerRoman"/>
      <w:lvlText w:val="(%4)"/>
      <w:lvlJc w:val="right"/>
      <w:pPr>
        <w:ind w:left="1135" w:hanging="170"/>
      </w:pPr>
      <w:rPr>
        <w:rFonts w:hint="default"/>
      </w:rPr>
    </w:lvl>
    <w:lvl w:ilvl="4">
      <w:start w:val="1"/>
      <w:numFmt w:val="decimal"/>
      <w:lvlText w:val="%5)"/>
      <w:lvlJc w:val="left"/>
      <w:pPr>
        <w:ind w:left="1362" w:hanging="170"/>
      </w:pPr>
      <w:rPr>
        <w:rFonts w:hint="default"/>
      </w:rPr>
    </w:lvl>
    <w:lvl w:ilvl="5">
      <w:start w:val="1"/>
      <w:numFmt w:val="lowerLetter"/>
      <w:lvlText w:val="%6)"/>
      <w:lvlJc w:val="left"/>
      <w:pPr>
        <w:ind w:left="1589" w:hanging="170"/>
      </w:pPr>
      <w:rPr>
        <w:rFonts w:hint="default"/>
      </w:rPr>
    </w:lvl>
    <w:lvl w:ilvl="6">
      <w:start w:val="1"/>
      <w:numFmt w:val="lowerRoman"/>
      <w:lvlText w:val="%7)"/>
      <w:lvlJc w:val="right"/>
      <w:pPr>
        <w:ind w:left="1816" w:hanging="170"/>
      </w:pPr>
      <w:rPr>
        <w:rFonts w:hint="default"/>
      </w:rPr>
    </w:lvl>
    <w:lvl w:ilvl="7">
      <w:start w:val="1"/>
      <w:numFmt w:val="lowerLetter"/>
      <w:lvlText w:val="%8."/>
      <w:lvlJc w:val="left"/>
      <w:pPr>
        <w:ind w:left="2043" w:hanging="170"/>
      </w:pPr>
      <w:rPr>
        <w:rFonts w:hint="default"/>
      </w:rPr>
    </w:lvl>
    <w:lvl w:ilvl="8">
      <w:start w:val="1"/>
      <w:numFmt w:val="lowerRoman"/>
      <w:lvlText w:val="%9."/>
      <w:lvlJc w:val="right"/>
      <w:pPr>
        <w:ind w:left="2270" w:hanging="170"/>
      </w:pPr>
      <w:rPr>
        <w:rFonts w:hint="default"/>
      </w:rPr>
    </w:lvl>
  </w:abstractNum>
  <w:abstractNum w:abstractNumId="5">
    <w:nsid w:val="4ED75B8D"/>
    <w:multiLevelType w:val="hybridMultilevel"/>
    <w:tmpl w:val="07665788"/>
    <w:lvl w:ilvl="0" w:tplc="B8982A34">
      <w:numFmt w:val="bullet"/>
      <w:lvlText w:val="-"/>
      <w:lvlJc w:val="left"/>
      <w:pPr>
        <w:ind w:left="720" w:hanging="360"/>
      </w:pPr>
      <w:rPr>
        <w:rFonts w:ascii="Calibri" w:eastAsiaTheme="minorHAnsi" w:hAnsi="Calibri"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50604B5D"/>
    <w:multiLevelType w:val="hybridMultilevel"/>
    <w:tmpl w:val="137E4308"/>
    <w:lvl w:ilvl="0" w:tplc="0AE8A3A8">
      <w:start w:val="1"/>
      <w:numFmt w:val="decimal"/>
      <w:pStyle w:val="Article"/>
      <w:lvlText w:val="Article %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607368FD"/>
    <w:multiLevelType w:val="hybridMultilevel"/>
    <w:tmpl w:val="44A84CE0"/>
    <w:lvl w:ilvl="0" w:tplc="C310D9C4">
      <w:start w:val="101"/>
      <w:numFmt w:val="bullet"/>
      <w:pStyle w:val="Paragraphedeliste"/>
      <w:lvlText w:val="-"/>
      <w:lvlJc w:val="left"/>
      <w:pPr>
        <w:ind w:left="1852" w:hanging="360"/>
      </w:pPr>
      <w:rPr>
        <w:rFonts w:asciiTheme="minorHAnsi" w:hAnsiTheme="minorHAnsi" w:cs="Times New Roman" w:hint="default"/>
        <w:color w:val="232253" w:themeColor="text2"/>
      </w:rPr>
    </w:lvl>
    <w:lvl w:ilvl="1" w:tplc="040C0003">
      <w:start w:val="1"/>
      <w:numFmt w:val="bullet"/>
      <w:lvlText w:val="o"/>
      <w:lvlJc w:val="left"/>
      <w:pPr>
        <w:ind w:left="2572" w:hanging="360"/>
      </w:pPr>
      <w:rPr>
        <w:rFonts w:ascii="Courier New" w:hAnsi="Courier New" w:cs="Courier New" w:hint="default"/>
      </w:rPr>
    </w:lvl>
    <w:lvl w:ilvl="2" w:tplc="040C0005" w:tentative="1">
      <w:start w:val="1"/>
      <w:numFmt w:val="bullet"/>
      <w:lvlText w:val=""/>
      <w:lvlJc w:val="left"/>
      <w:pPr>
        <w:ind w:left="3292" w:hanging="360"/>
      </w:pPr>
      <w:rPr>
        <w:rFonts w:ascii="Wingdings" w:hAnsi="Wingdings" w:hint="default"/>
      </w:rPr>
    </w:lvl>
    <w:lvl w:ilvl="3" w:tplc="040C0001" w:tentative="1">
      <w:start w:val="1"/>
      <w:numFmt w:val="bullet"/>
      <w:lvlText w:val=""/>
      <w:lvlJc w:val="left"/>
      <w:pPr>
        <w:ind w:left="4012" w:hanging="360"/>
      </w:pPr>
      <w:rPr>
        <w:rFonts w:ascii="Symbol" w:hAnsi="Symbol" w:hint="default"/>
      </w:rPr>
    </w:lvl>
    <w:lvl w:ilvl="4" w:tplc="040C0003" w:tentative="1">
      <w:start w:val="1"/>
      <w:numFmt w:val="bullet"/>
      <w:lvlText w:val="o"/>
      <w:lvlJc w:val="left"/>
      <w:pPr>
        <w:ind w:left="4732" w:hanging="360"/>
      </w:pPr>
      <w:rPr>
        <w:rFonts w:ascii="Courier New" w:hAnsi="Courier New" w:cs="Courier New" w:hint="default"/>
      </w:rPr>
    </w:lvl>
    <w:lvl w:ilvl="5" w:tplc="040C0005" w:tentative="1">
      <w:start w:val="1"/>
      <w:numFmt w:val="bullet"/>
      <w:lvlText w:val=""/>
      <w:lvlJc w:val="left"/>
      <w:pPr>
        <w:ind w:left="5452" w:hanging="360"/>
      </w:pPr>
      <w:rPr>
        <w:rFonts w:ascii="Wingdings" w:hAnsi="Wingdings" w:hint="default"/>
      </w:rPr>
    </w:lvl>
    <w:lvl w:ilvl="6" w:tplc="040C0001" w:tentative="1">
      <w:start w:val="1"/>
      <w:numFmt w:val="bullet"/>
      <w:lvlText w:val=""/>
      <w:lvlJc w:val="left"/>
      <w:pPr>
        <w:ind w:left="6172" w:hanging="360"/>
      </w:pPr>
      <w:rPr>
        <w:rFonts w:ascii="Symbol" w:hAnsi="Symbol" w:hint="default"/>
      </w:rPr>
    </w:lvl>
    <w:lvl w:ilvl="7" w:tplc="040C0003" w:tentative="1">
      <w:start w:val="1"/>
      <w:numFmt w:val="bullet"/>
      <w:lvlText w:val="o"/>
      <w:lvlJc w:val="left"/>
      <w:pPr>
        <w:ind w:left="6892" w:hanging="360"/>
      </w:pPr>
      <w:rPr>
        <w:rFonts w:ascii="Courier New" w:hAnsi="Courier New" w:cs="Courier New" w:hint="default"/>
      </w:rPr>
    </w:lvl>
    <w:lvl w:ilvl="8" w:tplc="040C0005" w:tentative="1">
      <w:start w:val="1"/>
      <w:numFmt w:val="bullet"/>
      <w:lvlText w:val=""/>
      <w:lvlJc w:val="left"/>
      <w:pPr>
        <w:ind w:left="7612" w:hanging="360"/>
      </w:pPr>
      <w:rPr>
        <w:rFonts w:ascii="Wingdings" w:hAnsi="Wingdings" w:hint="default"/>
      </w:rPr>
    </w:lvl>
  </w:abstractNum>
  <w:abstractNum w:abstractNumId="8">
    <w:nsid w:val="69287C7A"/>
    <w:multiLevelType w:val="multilevel"/>
    <w:tmpl w:val="D5FA9042"/>
    <w:name w:val="Liste numérotée ARCEP"/>
    <w:lvl w:ilvl="0">
      <w:start w:val="1"/>
      <w:numFmt w:val="decimal"/>
      <w:lvlText w:val="%1."/>
      <w:lvlJc w:val="left"/>
      <w:pPr>
        <w:ind w:left="454" w:hanging="170"/>
      </w:pPr>
      <w:rPr>
        <w:rFonts w:hint="default"/>
      </w:rPr>
    </w:lvl>
    <w:lvl w:ilvl="1">
      <w:start w:val="1"/>
      <w:numFmt w:val="lowerLetter"/>
      <w:lvlText w:val="%2."/>
      <w:lvlJc w:val="left"/>
      <w:pPr>
        <w:tabs>
          <w:tab w:val="num" w:pos="284"/>
        </w:tabs>
        <w:ind w:left="681" w:hanging="170"/>
      </w:pPr>
      <w:rPr>
        <w:rFonts w:hint="default"/>
        <w:color w:val="5957BA" w:themeColor="text2" w:themeTint="99"/>
      </w:rPr>
    </w:lvl>
    <w:lvl w:ilvl="2">
      <w:start w:val="1"/>
      <w:numFmt w:val="lowerLetter"/>
      <w:lvlText w:val="(%3)"/>
      <w:lvlJc w:val="left"/>
      <w:pPr>
        <w:ind w:left="908" w:hanging="170"/>
      </w:pPr>
      <w:rPr>
        <w:rFonts w:hint="default"/>
      </w:rPr>
    </w:lvl>
    <w:lvl w:ilvl="3">
      <w:start w:val="1"/>
      <w:numFmt w:val="lowerRoman"/>
      <w:lvlText w:val="(%4)"/>
      <w:lvlJc w:val="right"/>
      <w:pPr>
        <w:ind w:left="1135" w:hanging="170"/>
      </w:pPr>
      <w:rPr>
        <w:rFonts w:hint="default"/>
      </w:rPr>
    </w:lvl>
    <w:lvl w:ilvl="4">
      <w:start w:val="1"/>
      <w:numFmt w:val="decimal"/>
      <w:lvlText w:val="%5)"/>
      <w:lvlJc w:val="left"/>
      <w:pPr>
        <w:ind w:left="1362" w:hanging="170"/>
      </w:pPr>
      <w:rPr>
        <w:rFonts w:hint="default"/>
      </w:rPr>
    </w:lvl>
    <w:lvl w:ilvl="5">
      <w:start w:val="1"/>
      <w:numFmt w:val="lowerLetter"/>
      <w:lvlText w:val="%6)"/>
      <w:lvlJc w:val="left"/>
      <w:pPr>
        <w:ind w:left="1589" w:hanging="170"/>
      </w:pPr>
      <w:rPr>
        <w:rFonts w:hint="default"/>
      </w:rPr>
    </w:lvl>
    <w:lvl w:ilvl="6">
      <w:start w:val="1"/>
      <w:numFmt w:val="lowerRoman"/>
      <w:lvlText w:val="%7)"/>
      <w:lvlJc w:val="right"/>
      <w:pPr>
        <w:ind w:left="1816" w:hanging="170"/>
      </w:pPr>
      <w:rPr>
        <w:rFonts w:hint="default"/>
      </w:rPr>
    </w:lvl>
    <w:lvl w:ilvl="7">
      <w:start w:val="1"/>
      <w:numFmt w:val="lowerLetter"/>
      <w:lvlText w:val="%8."/>
      <w:lvlJc w:val="left"/>
      <w:pPr>
        <w:ind w:left="2043" w:hanging="170"/>
      </w:pPr>
      <w:rPr>
        <w:rFonts w:hint="default"/>
      </w:rPr>
    </w:lvl>
    <w:lvl w:ilvl="8">
      <w:start w:val="1"/>
      <w:numFmt w:val="lowerRoman"/>
      <w:lvlText w:val="%9."/>
      <w:lvlJc w:val="right"/>
      <w:pPr>
        <w:ind w:left="2270" w:hanging="170"/>
      </w:pPr>
      <w:rPr>
        <w:rFonts w:hint="default"/>
      </w:rPr>
    </w:lvl>
  </w:abstractNum>
  <w:abstractNum w:abstractNumId="9">
    <w:nsid w:val="6CAC5430"/>
    <w:multiLevelType w:val="hybridMultilevel"/>
    <w:tmpl w:val="5DAAB62C"/>
    <w:lvl w:ilvl="0" w:tplc="29867C12">
      <w:start w:val="1"/>
      <w:numFmt w:val="bullet"/>
      <w:pStyle w:val="Listepuces2"/>
      <w:lvlText w:val=""/>
      <w:lvlJc w:val="left"/>
      <w:pPr>
        <w:ind w:left="1353" w:hanging="360"/>
      </w:pPr>
      <w:rPr>
        <w:rFonts w:ascii="Wingdings" w:hAnsi="Wingdings" w:hint="default"/>
        <w:color w:val="232253" w:themeColor="text2"/>
        <w:sz w:val="16"/>
      </w:rPr>
    </w:lvl>
    <w:lvl w:ilvl="1" w:tplc="040C0003" w:tentative="1">
      <w:start w:val="1"/>
      <w:numFmt w:val="bullet"/>
      <w:lvlText w:val="o"/>
      <w:lvlJc w:val="left"/>
      <w:pPr>
        <w:ind w:left="2073" w:hanging="360"/>
      </w:pPr>
      <w:rPr>
        <w:rFonts w:ascii="Courier New" w:hAnsi="Courier New" w:cs="Courier New" w:hint="default"/>
      </w:rPr>
    </w:lvl>
    <w:lvl w:ilvl="2" w:tplc="040C0005" w:tentative="1">
      <w:start w:val="1"/>
      <w:numFmt w:val="bullet"/>
      <w:lvlText w:val=""/>
      <w:lvlJc w:val="left"/>
      <w:pPr>
        <w:ind w:left="2793" w:hanging="360"/>
      </w:pPr>
      <w:rPr>
        <w:rFonts w:ascii="Wingdings" w:hAnsi="Wingdings" w:hint="default"/>
      </w:rPr>
    </w:lvl>
    <w:lvl w:ilvl="3" w:tplc="040C0001" w:tentative="1">
      <w:start w:val="1"/>
      <w:numFmt w:val="bullet"/>
      <w:lvlText w:val=""/>
      <w:lvlJc w:val="left"/>
      <w:pPr>
        <w:ind w:left="3513" w:hanging="360"/>
      </w:pPr>
      <w:rPr>
        <w:rFonts w:ascii="Symbol" w:hAnsi="Symbol" w:hint="default"/>
      </w:rPr>
    </w:lvl>
    <w:lvl w:ilvl="4" w:tplc="040C0003" w:tentative="1">
      <w:start w:val="1"/>
      <w:numFmt w:val="bullet"/>
      <w:lvlText w:val="o"/>
      <w:lvlJc w:val="left"/>
      <w:pPr>
        <w:ind w:left="4233" w:hanging="360"/>
      </w:pPr>
      <w:rPr>
        <w:rFonts w:ascii="Courier New" w:hAnsi="Courier New" w:cs="Courier New" w:hint="default"/>
      </w:rPr>
    </w:lvl>
    <w:lvl w:ilvl="5" w:tplc="040C0005" w:tentative="1">
      <w:start w:val="1"/>
      <w:numFmt w:val="bullet"/>
      <w:lvlText w:val=""/>
      <w:lvlJc w:val="left"/>
      <w:pPr>
        <w:ind w:left="4953" w:hanging="360"/>
      </w:pPr>
      <w:rPr>
        <w:rFonts w:ascii="Wingdings" w:hAnsi="Wingdings" w:hint="default"/>
      </w:rPr>
    </w:lvl>
    <w:lvl w:ilvl="6" w:tplc="040C0001" w:tentative="1">
      <w:start w:val="1"/>
      <w:numFmt w:val="bullet"/>
      <w:lvlText w:val=""/>
      <w:lvlJc w:val="left"/>
      <w:pPr>
        <w:ind w:left="5673" w:hanging="360"/>
      </w:pPr>
      <w:rPr>
        <w:rFonts w:ascii="Symbol" w:hAnsi="Symbol" w:hint="default"/>
      </w:rPr>
    </w:lvl>
    <w:lvl w:ilvl="7" w:tplc="040C0003" w:tentative="1">
      <w:start w:val="1"/>
      <w:numFmt w:val="bullet"/>
      <w:lvlText w:val="o"/>
      <w:lvlJc w:val="left"/>
      <w:pPr>
        <w:ind w:left="6393" w:hanging="360"/>
      </w:pPr>
      <w:rPr>
        <w:rFonts w:ascii="Courier New" w:hAnsi="Courier New" w:cs="Courier New" w:hint="default"/>
      </w:rPr>
    </w:lvl>
    <w:lvl w:ilvl="8" w:tplc="040C0005" w:tentative="1">
      <w:start w:val="1"/>
      <w:numFmt w:val="bullet"/>
      <w:lvlText w:val=""/>
      <w:lvlJc w:val="left"/>
      <w:pPr>
        <w:ind w:left="7113" w:hanging="360"/>
      </w:pPr>
      <w:rPr>
        <w:rFonts w:ascii="Wingdings" w:hAnsi="Wingdings" w:hint="default"/>
      </w:rPr>
    </w:lvl>
  </w:abstractNum>
  <w:abstractNum w:abstractNumId="10">
    <w:nsid w:val="76D05797"/>
    <w:multiLevelType w:val="hybridMultilevel"/>
    <w:tmpl w:val="D256EE52"/>
    <w:lvl w:ilvl="0" w:tplc="C554DE54">
      <w:numFmt w:val="bullet"/>
      <w:lvlText w:val=""/>
      <w:lvlJc w:val="left"/>
      <w:pPr>
        <w:ind w:left="720" w:hanging="360"/>
      </w:pPr>
      <w:rPr>
        <w:rFonts w:ascii="Symbol" w:eastAsiaTheme="minorHAnsi" w:hAnsi="Symbol" w:cstheme="minorHAns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2"/>
  </w:num>
  <w:num w:numId="4">
    <w:abstractNumId w:val="4"/>
  </w:num>
  <w:num w:numId="5">
    <w:abstractNumId w:val="1"/>
  </w:num>
  <w:num w:numId="6">
    <w:abstractNumId w:val="7"/>
  </w:num>
  <w:num w:numId="7">
    <w:abstractNumId w:val="9"/>
  </w:num>
  <w:num w:numId="8">
    <w:abstractNumId w:val="10"/>
  </w:num>
  <w:num w:numId="9">
    <w:abstractNumId w:val="0"/>
  </w:num>
  <w:num w:numId="10">
    <w:abstractNumId w:val="0"/>
  </w:num>
  <w:num w:numId="11">
    <w:abstractNumId w:val="5"/>
  </w:num>
  <w:num w:numId="12">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5522"/>
    <w:rsid w:val="000013B1"/>
    <w:rsid w:val="00027AFD"/>
    <w:rsid w:val="000340BB"/>
    <w:rsid w:val="0003716C"/>
    <w:rsid w:val="00042743"/>
    <w:rsid w:val="00054406"/>
    <w:rsid w:val="00055F8C"/>
    <w:rsid w:val="0008415E"/>
    <w:rsid w:val="00093222"/>
    <w:rsid w:val="000B30D0"/>
    <w:rsid w:val="000B4E1F"/>
    <w:rsid w:val="000B59FE"/>
    <w:rsid w:val="000C2EA9"/>
    <w:rsid w:val="000C5C80"/>
    <w:rsid w:val="000C7AD3"/>
    <w:rsid w:val="000D0586"/>
    <w:rsid w:val="000D1F6B"/>
    <w:rsid w:val="000D4E65"/>
    <w:rsid w:val="000E05AA"/>
    <w:rsid w:val="000E0A23"/>
    <w:rsid w:val="000F4D7E"/>
    <w:rsid w:val="000F5E19"/>
    <w:rsid w:val="000F68CE"/>
    <w:rsid w:val="000F71E1"/>
    <w:rsid w:val="000F7866"/>
    <w:rsid w:val="000F7C7B"/>
    <w:rsid w:val="001001DA"/>
    <w:rsid w:val="00106B8C"/>
    <w:rsid w:val="00114B97"/>
    <w:rsid w:val="00116E6D"/>
    <w:rsid w:val="00125502"/>
    <w:rsid w:val="001368C7"/>
    <w:rsid w:val="0015436C"/>
    <w:rsid w:val="0015601B"/>
    <w:rsid w:val="0019788A"/>
    <w:rsid w:val="001A0191"/>
    <w:rsid w:val="001B6583"/>
    <w:rsid w:val="001B65C8"/>
    <w:rsid w:val="001D1206"/>
    <w:rsid w:val="001D3C9F"/>
    <w:rsid w:val="001E259F"/>
    <w:rsid w:val="001E296D"/>
    <w:rsid w:val="001F691B"/>
    <w:rsid w:val="0020010C"/>
    <w:rsid w:val="002135EE"/>
    <w:rsid w:val="00230FFF"/>
    <w:rsid w:val="00256533"/>
    <w:rsid w:val="002573A1"/>
    <w:rsid w:val="002632B9"/>
    <w:rsid w:val="00284E4F"/>
    <w:rsid w:val="0028555C"/>
    <w:rsid w:val="00296A21"/>
    <w:rsid w:val="002D6F5B"/>
    <w:rsid w:val="002D728F"/>
    <w:rsid w:val="002E0F83"/>
    <w:rsid w:val="002E4781"/>
    <w:rsid w:val="002E6BDF"/>
    <w:rsid w:val="002E73DD"/>
    <w:rsid w:val="003052EB"/>
    <w:rsid w:val="00306DEC"/>
    <w:rsid w:val="00310E33"/>
    <w:rsid w:val="00321BF2"/>
    <w:rsid w:val="0032221A"/>
    <w:rsid w:val="00323C4E"/>
    <w:rsid w:val="00332005"/>
    <w:rsid w:val="003338E3"/>
    <w:rsid w:val="00337A7E"/>
    <w:rsid w:val="00343634"/>
    <w:rsid w:val="00352E58"/>
    <w:rsid w:val="00353DA5"/>
    <w:rsid w:val="00373D6C"/>
    <w:rsid w:val="00376BF0"/>
    <w:rsid w:val="003935BB"/>
    <w:rsid w:val="003A675F"/>
    <w:rsid w:val="003C778F"/>
    <w:rsid w:val="003D246E"/>
    <w:rsid w:val="003D5BAD"/>
    <w:rsid w:val="003E618D"/>
    <w:rsid w:val="003E7DDC"/>
    <w:rsid w:val="003F1F1B"/>
    <w:rsid w:val="003F29A2"/>
    <w:rsid w:val="00410D78"/>
    <w:rsid w:val="00416ECE"/>
    <w:rsid w:val="00416F47"/>
    <w:rsid w:val="00417039"/>
    <w:rsid w:val="0043353E"/>
    <w:rsid w:val="0043770D"/>
    <w:rsid w:val="004405EB"/>
    <w:rsid w:val="00440BFB"/>
    <w:rsid w:val="00441B27"/>
    <w:rsid w:val="00442BEA"/>
    <w:rsid w:val="004704DC"/>
    <w:rsid w:val="00487033"/>
    <w:rsid w:val="00487F0C"/>
    <w:rsid w:val="004971F2"/>
    <w:rsid w:val="00497917"/>
    <w:rsid w:val="004A158B"/>
    <w:rsid w:val="004A47EE"/>
    <w:rsid w:val="004B3DEB"/>
    <w:rsid w:val="004B511B"/>
    <w:rsid w:val="004D1680"/>
    <w:rsid w:val="004D5DF2"/>
    <w:rsid w:val="004D719B"/>
    <w:rsid w:val="004F7515"/>
    <w:rsid w:val="00506D77"/>
    <w:rsid w:val="00514BF5"/>
    <w:rsid w:val="0051541A"/>
    <w:rsid w:val="00522A8C"/>
    <w:rsid w:val="00527C58"/>
    <w:rsid w:val="005468D7"/>
    <w:rsid w:val="00557F23"/>
    <w:rsid w:val="00571CB3"/>
    <w:rsid w:val="00574E09"/>
    <w:rsid w:val="00583195"/>
    <w:rsid w:val="00583FAC"/>
    <w:rsid w:val="00597660"/>
    <w:rsid w:val="005A3A4B"/>
    <w:rsid w:val="005C0347"/>
    <w:rsid w:val="005C1247"/>
    <w:rsid w:val="005C2C87"/>
    <w:rsid w:val="005C3EB3"/>
    <w:rsid w:val="005C5DF0"/>
    <w:rsid w:val="005E3ED4"/>
    <w:rsid w:val="005E6217"/>
    <w:rsid w:val="005F03AA"/>
    <w:rsid w:val="005F5154"/>
    <w:rsid w:val="006019F8"/>
    <w:rsid w:val="00602789"/>
    <w:rsid w:val="00604C65"/>
    <w:rsid w:val="006119AD"/>
    <w:rsid w:val="0062108F"/>
    <w:rsid w:val="0063168F"/>
    <w:rsid w:val="0064069D"/>
    <w:rsid w:val="00642401"/>
    <w:rsid w:val="00652F0E"/>
    <w:rsid w:val="0066113B"/>
    <w:rsid w:val="00663DC4"/>
    <w:rsid w:val="00670998"/>
    <w:rsid w:val="00671E93"/>
    <w:rsid w:val="00674EBF"/>
    <w:rsid w:val="00693977"/>
    <w:rsid w:val="006A2582"/>
    <w:rsid w:val="006A3686"/>
    <w:rsid w:val="006B5F41"/>
    <w:rsid w:val="006C17F6"/>
    <w:rsid w:val="006C2446"/>
    <w:rsid w:val="006C5146"/>
    <w:rsid w:val="006E31CE"/>
    <w:rsid w:val="006F3189"/>
    <w:rsid w:val="006F70B3"/>
    <w:rsid w:val="007011CC"/>
    <w:rsid w:val="00705B57"/>
    <w:rsid w:val="00713646"/>
    <w:rsid w:val="00730B95"/>
    <w:rsid w:val="00732BE1"/>
    <w:rsid w:val="00733A89"/>
    <w:rsid w:val="007439DD"/>
    <w:rsid w:val="0075283B"/>
    <w:rsid w:val="0076439F"/>
    <w:rsid w:val="00771A3F"/>
    <w:rsid w:val="00783680"/>
    <w:rsid w:val="007A2C95"/>
    <w:rsid w:val="007A5A9B"/>
    <w:rsid w:val="007B1298"/>
    <w:rsid w:val="007D33F8"/>
    <w:rsid w:val="007D494B"/>
    <w:rsid w:val="007D5CC9"/>
    <w:rsid w:val="007D7602"/>
    <w:rsid w:val="007E6BF9"/>
    <w:rsid w:val="007F7429"/>
    <w:rsid w:val="00805613"/>
    <w:rsid w:val="008131FE"/>
    <w:rsid w:val="0081432F"/>
    <w:rsid w:val="008153A3"/>
    <w:rsid w:val="008160DE"/>
    <w:rsid w:val="00820704"/>
    <w:rsid w:val="008263D2"/>
    <w:rsid w:val="00830277"/>
    <w:rsid w:val="008312F9"/>
    <w:rsid w:val="00835564"/>
    <w:rsid w:val="0085036A"/>
    <w:rsid w:val="00851DE8"/>
    <w:rsid w:val="008522C1"/>
    <w:rsid w:val="008524A8"/>
    <w:rsid w:val="0085717E"/>
    <w:rsid w:val="0086102C"/>
    <w:rsid w:val="008860FA"/>
    <w:rsid w:val="00893E88"/>
    <w:rsid w:val="0089748F"/>
    <w:rsid w:val="008B3841"/>
    <w:rsid w:val="008C1CAE"/>
    <w:rsid w:val="008C1CDD"/>
    <w:rsid w:val="008C6EBD"/>
    <w:rsid w:val="008D5B6F"/>
    <w:rsid w:val="008E7A5A"/>
    <w:rsid w:val="008F1C44"/>
    <w:rsid w:val="008F7EE5"/>
    <w:rsid w:val="00904850"/>
    <w:rsid w:val="009062D2"/>
    <w:rsid w:val="00912A63"/>
    <w:rsid w:val="009162B0"/>
    <w:rsid w:val="009168CE"/>
    <w:rsid w:val="00916AE9"/>
    <w:rsid w:val="00934771"/>
    <w:rsid w:val="00937E8D"/>
    <w:rsid w:val="00941B2B"/>
    <w:rsid w:val="00954728"/>
    <w:rsid w:val="009654B1"/>
    <w:rsid w:val="00965522"/>
    <w:rsid w:val="00981AC7"/>
    <w:rsid w:val="00983D4A"/>
    <w:rsid w:val="0098444D"/>
    <w:rsid w:val="00986C59"/>
    <w:rsid w:val="009973B2"/>
    <w:rsid w:val="009A5E96"/>
    <w:rsid w:val="009B6A94"/>
    <w:rsid w:val="009C7AC8"/>
    <w:rsid w:val="009D0301"/>
    <w:rsid w:val="009D2423"/>
    <w:rsid w:val="009D4A13"/>
    <w:rsid w:val="009E2656"/>
    <w:rsid w:val="009E56F8"/>
    <w:rsid w:val="009F2094"/>
    <w:rsid w:val="009F321E"/>
    <w:rsid w:val="00A00AB4"/>
    <w:rsid w:val="00A14888"/>
    <w:rsid w:val="00A249F5"/>
    <w:rsid w:val="00A265CA"/>
    <w:rsid w:val="00A353C7"/>
    <w:rsid w:val="00A41803"/>
    <w:rsid w:val="00A43ED8"/>
    <w:rsid w:val="00A53775"/>
    <w:rsid w:val="00A54D25"/>
    <w:rsid w:val="00A55B4D"/>
    <w:rsid w:val="00A55E05"/>
    <w:rsid w:val="00A56B91"/>
    <w:rsid w:val="00A624E5"/>
    <w:rsid w:val="00A64AC3"/>
    <w:rsid w:val="00A64B95"/>
    <w:rsid w:val="00A67386"/>
    <w:rsid w:val="00A76500"/>
    <w:rsid w:val="00A8258A"/>
    <w:rsid w:val="00A935B7"/>
    <w:rsid w:val="00AA503A"/>
    <w:rsid w:val="00AB1226"/>
    <w:rsid w:val="00AC3089"/>
    <w:rsid w:val="00AD0DB4"/>
    <w:rsid w:val="00AD306B"/>
    <w:rsid w:val="00AD4C35"/>
    <w:rsid w:val="00B11BFD"/>
    <w:rsid w:val="00B17B41"/>
    <w:rsid w:val="00B345BC"/>
    <w:rsid w:val="00B35D15"/>
    <w:rsid w:val="00B56059"/>
    <w:rsid w:val="00B6060E"/>
    <w:rsid w:val="00B60D1A"/>
    <w:rsid w:val="00B67523"/>
    <w:rsid w:val="00B872B9"/>
    <w:rsid w:val="00BA5519"/>
    <w:rsid w:val="00BA6683"/>
    <w:rsid w:val="00BB0E75"/>
    <w:rsid w:val="00BB38E7"/>
    <w:rsid w:val="00BB7A6A"/>
    <w:rsid w:val="00BC5AAA"/>
    <w:rsid w:val="00BE0C2B"/>
    <w:rsid w:val="00BF4816"/>
    <w:rsid w:val="00BF64DD"/>
    <w:rsid w:val="00C31295"/>
    <w:rsid w:val="00C329A7"/>
    <w:rsid w:val="00C352E1"/>
    <w:rsid w:val="00C35C90"/>
    <w:rsid w:val="00C42FF2"/>
    <w:rsid w:val="00C90C64"/>
    <w:rsid w:val="00C92338"/>
    <w:rsid w:val="00C93714"/>
    <w:rsid w:val="00C94B7E"/>
    <w:rsid w:val="00CB0D6A"/>
    <w:rsid w:val="00CB26B0"/>
    <w:rsid w:val="00CB585A"/>
    <w:rsid w:val="00CB62F0"/>
    <w:rsid w:val="00CC2347"/>
    <w:rsid w:val="00CF3CBF"/>
    <w:rsid w:val="00D02982"/>
    <w:rsid w:val="00D03A0F"/>
    <w:rsid w:val="00D03BC0"/>
    <w:rsid w:val="00D03EE3"/>
    <w:rsid w:val="00D05B90"/>
    <w:rsid w:val="00D144A5"/>
    <w:rsid w:val="00D22471"/>
    <w:rsid w:val="00D2309A"/>
    <w:rsid w:val="00D23D19"/>
    <w:rsid w:val="00D3132B"/>
    <w:rsid w:val="00D451FD"/>
    <w:rsid w:val="00D52EC3"/>
    <w:rsid w:val="00D612F2"/>
    <w:rsid w:val="00D627EE"/>
    <w:rsid w:val="00D628A1"/>
    <w:rsid w:val="00D628E6"/>
    <w:rsid w:val="00D73825"/>
    <w:rsid w:val="00D839C4"/>
    <w:rsid w:val="00D87D08"/>
    <w:rsid w:val="00D93AA4"/>
    <w:rsid w:val="00DA0517"/>
    <w:rsid w:val="00DA33FB"/>
    <w:rsid w:val="00DB1B36"/>
    <w:rsid w:val="00DB547B"/>
    <w:rsid w:val="00DB5CC4"/>
    <w:rsid w:val="00DC3550"/>
    <w:rsid w:val="00DE3259"/>
    <w:rsid w:val="00DF556E"/>
    <w:rsid w:val="00E06578"/>
    <w:rsid w:val="00E1542A"/>
    <w:rsid w:val="00E25101"/>
    <w:rsid w:val="00E42B3A"/>
    <w:rsid w:val="00E43387"/>
    <w:rsid w:val="00E50EEF"/>
    <w:rsid w:val="00E50EF8"/>
    <w:rsid w:val="00E62C9F"/>
    <w:rsid w:val="00E640EA"/>
    <w:rsid w:val="00E662C2"/>
    <w:rsid w:val="00E66FFA"/>
    <w:rsid w:val="00E70400"/>
    <w:rsid w:val="00E812B0"/>
    <w:rsid w:val="00E81315"/>
    <w:rsid w:val="00E83D82"/>
    <w:rsid w:val="00E91E05"/>
    <w:rsid w:val="00EA1D4C"/>
    <w:rsid w:val="00EC22C2"/>
    <w:rsid w:val="00ED07E8"/>
    <w:rsid w:val="00EE2EBC"/>
    <w:rsid w:val="00EF3B46"/>
    <w:rsid w:val="00EF7746"/>
    <w:rsid w:val="00F32011"/>
    <w:rsid w:val="00F3242A"/>
    <w:rsid w:val="00F54278"/>
    <w:rsid w:val="00F604F2"/>
    <w:rsid w:val="00F64E71"/>
    <w:rsid w:val="00F73818"/>
    <w:rsid w:val="00F810A6"/>
    <w:rsid w:val="00F854B2"/>
    <w:rsid w:val="00FA603C"/>
    <w:rsid w:val="00FB0B86"/>
    <w:rsid w:val="00FB687D"/>
    <w:rsid w:val="00FC4884"/>
    <w:rsid w:val="00FD69DB"/>
    <w:rsid w:val="00FE1B86"/>
    <w:rsid w:val="00FF5955"/>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6" w:qFormat="1"/>
    <w:lsdException w:name="heading 5" w:uiPriority="0"/>
    <w:lsdException w:name="heading 6" w:uiPriority="0"/>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footer" w:qFormat="1"/>
    <w:lsdException w:name="caption" w:uiPriority="25" w:qFormat="1"/>
    <w:lsdException w:name="footnote reference" w:uiPriority="0"/>
    <w:lsdException w:name="List Bullet" w:qFormat="1"/>
    <w:lsdException w:name="List Number" w:qFormat="1"/>
    <w:lsdException w:name="List Bullet 2" w:qFormat="1"/>
    <w:lsdException w:name="List Number 2" w:qFormat="1"/>
    <w:lsdException w:name="Title" w:semiHidden="0" w:uiPriority="10" w:unhideWhenUsed="0" w:qFormat="1"/>
    <w:lsdException w:name="Default Paragraph Font" w:uiPriority="1"/>
    <w:lsdException w:name="Subtitle" w:uiPriority="11" w:qFormat="1"/>
    <w:lsdException w:name="Strong" w:uiPriority="39" w:qFormat="1"/>
    <w:lsdException w:name="Emphasis" w:semiHidden="0" w:uiPriority="27" w:unhideWhenUsed="0" w:qFormat="1"/>
    <w:lsdException w:name="Table Columns 4"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5" w:unhideWhenUsed="0" w:qFormat="1"/>
    <w:lsdException w:name="Quote" w:semiHidden="0" w:uiPriority="29" w:unhideWhenUsed="0" w:qFormat="1"/>
    <w:lsdException w:name="Intense Quote" w:uiPriority="39"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39" w:qFormat="1"/>
    <w:lsdException w:name="Intense Emphasis" w:uiPriority="39" w:qFormat="1"/>
    <w:lsdException w:name="Subtle Reference" w:uiPriority="31" w:unhideWhenUsed="0" w:qFormat="1"/>
    <w:lsdException w:name="Intense Reference" w:uiPriority="32" w:qFormat="1"/>
    <w:lsdException w:name="Book Title" w:uiPriority="33" w:qFormat="1"/>
    <w:lsdException w:name="Bibliography" w:uiPriority="37"/>
    <w:lsdException w:name="TOC Heading" w:uiPriority="39" w:qFormat="1"/>
  </w:latentStyles>
  <w:style w:type="paragraph" w:default="1" w:styleId="Normal">
    <w:name w:val="Normal"/>
    <w:qFormat/>
    <w:rsid w:val="00732BE1"/>
    <w:pPr>
      <w:spacing w:after="0" w:line="240" w:lineRule="auto"/>
      <w:jc w:val="both"/>
    </w:pPr>
    <w:rPr>
      <w:rFonts w:cstheme="minorHAnsi"/>
      <w:bCs/>
      <w:color w:val="232253" w:themeColor="text2"/>
      <w:sz w:val="20"/>
      <w:szCs w:val="18"/>
    </w:rPr>
  </w:style>
  <w:style w:type="paragraph" w:styleId="Titre1">
    <w:name w:val="heading 1"/>
    <w:basedOn w:val="Normal"/>
    <w:next w:val="Normal"/>
    <w:link w:val="Titre1Car"/>
    <w:uiPriority w:val="6"/>
    <w:qFormat/>
    <w:rsid w:val="003338E3"/>
    <w:pPr>
      <w:keepNext/>
      <w:keepLines/>
      <w:numPr>
        <w:numId w:val="2"/>
      </w:numPr>
      <w:spacing w:before="480" w:after="240"/>
      <w:jc w:val="left"/>
      <w:outlineLvl w:val="0"/>
    </w:pPr>
    <w:rPr>
      <w:rFonts w:asciiTheme="majorHAnsi" w:eastAsiaTheme="majorEastAsia" w:hAnsiTheme="majorHAnsi" w:cstheme="majorHAnsi"/>
      <w:b/>
      <w:bCs w:val="0"/>
      <w:sz w:val="28"/>
      <w:szCs w:val="26"/>
    </w:rPr>
  </w:style>
  <w:style w:type="paragraph" w:styleId="Titre2">
    <w:name w:val="heading 2"/>
    <w:basedOn w:val="Normal"/>
    <w:next w:val="Normal"/>
    <w:link w:val="Titre2Car"/>
    <w:uiPriority w:val="6"/>
    <w:qFormat/>
    <w:rsid w:val="003A675F"/>
    <w:pPr>
      <w:keepNext/>
      <w:keepLines/>
      <w:numPr>
        <w:ilvl w:val="1"/>
        <w:numId w:val="2"/>
      </w:numPr>
      <w:spacing w:after="240"/>
      <w:ind w:left="1134" w:hanging="578"/>
      <w:jc w:val="left"/>
      <w:outlineLvl w:val="1"/>
    </w:pPr>
    <w:rPr>
      <w:rFonts w:asciiTheme="majorHAnsi" w:eastAsiaTheme="majorEastAsia" w:hAnsiTheme="majorHAnsi" w:cstheme="majorHAnsi"/>
      <w:b/>
      <w:bCs w:val="0"/>
      <w:color w:val="E56463" w:themeColor="accent3"/>
      <w:sz w:val="26"/>
      <w:szCs w:val="26"/>
    </w:rPr>
  </w:style>
  <w:style w:type="paragraph" w:styleId="Titre3">
    <w:name w:val="heading 3"/>
    <w:basedOn w:val="Normal"/>
    <w:next w:val="Normal"/>
    <w:link w:val="Titre3Car"/>
    <w:uiPriority w:val="6"/>
    <w:qFormat/>
    <w:rsid w:val="00373D6C"/>
    <w:pPr>
      <w:keepNext/>
      <w:keepLines/>
      <w:numPr>
        <w:ilvl w:val="2"/>
        <w:numId w:val="2"/>
      </w:numPr>
      <w:spacing w:before="240" w:after="240"/>
      <w:ind w:left="1701" w:hanging="737"/>
      <w:jc w:val="left"/>
      <w:outlineLvl w:val="2"/>
    </w:pPr>
    <w:rPr>
      <w:rFonts w:asciiTheme="majorHAnsi" w:eastAsiaTheme="majorEastAsia" w:hAnsiTheme="majorHAnsi"/>
      <w:bCs w:val="0"/>
      <w:sz w:val="24"/>
      <w:szCs w:val="26"/>
    </w:rPr>
  </w:style>
  <w:style w:type="paragraph" w:styleId="Titre4">
    <w:name w:val="heading 4"/>
    <w:basedOn w:val="Normal"/>
    <w:next w:val="Normal"/>
    <w:link w:val="Titre4Car"/>
    <w:uiPriority w:val="6"/>
    <w:unhideWhenUsed/>
    <w:qFormat/>
    <w:rsid w:val="00A54D25"/>
    <w:pPr>
      <w:keepNext/>
      <w:keepLines/>
      <w:numPr>
        <w:ilvl w:val="3"/>
        <w:numId w:val="2"/>
      </w:numPr>
      <w:jc w:val="left"/>
      <w:outlineLvl w:val="3"/>
    </w:pPr>
    <w:rPr>
      <w:rFonts w:eastAsiaTheme="majorEastAsia"/>
      <w:bCs w:val="0"/>
      <w:iCs/>
      <w:color w:val="E56463" w:themeColor="accent3"/>
    </w:rPr>
  </w:style>
  <w:style w:type="paragraph" w:styleId="Titre5">
    <w:name w:val="heading 5"/>
    <w:basedOn w:val="Normal"/>
    <w:next w:val="Normal"/>
    <w:link w:val="Titre5Car"/>
    <w:uiPriority w:val="6"/>
    <w:unhideWhenUsed/>
    <w:rsid w:val="000C2EA9"/>
    <w:pPr>
      <w:keepNext/>
      <w:keepLines/>
      <w:spacing w:before="200"/>
      <w:outlineLvl w:val="4"/>
    </w:pPr>
    <w:rPr>
      <w:rFonts w:eastAsia="Times New Roman" w:cs="Times New Roman"/>
      <w:b/>
      <w:color w:val="auto"/>
      <w:szCs w:val="24"/>
      <w:lang w:eastAsia="fr-FR"/>
    </w:rPr>
  </w:style>
  <w:style w:type="paragraph" w:styleId="Titre6">
    <w:name w:val="heading 6"/>
    <w:basedOn w:val="Normal"/>
    <w:next w:val="Normal"/>
    <w:link w:val="Titre6Car"/>
    <w:uiPriority w:val="6"/>
    <w:semiHidden/>
    <w:unhideWhenUsed/>
    <w:rsid w:val="000C2EA9"/>
    <w:pPr>
      <w:keepNext/>
      <w:keepLines/>
      <w:spacing w:before="200"/>
      <w:outlineLvl w:val="5"/>
    </w:pPr>
    <w:rPr>
      <w:rFonts w:eastAsia="Times New Roman" w:cs="Times New Roman"/>
      <w:i/>
      <w:iCs/>
      <w:color w:val="275277"/>
      <w:szCs w:val="24"/>
      <w:lang w:eastAsia="fr-FR"/>
    </w:rPr>
  </w:style>
  <w:style w:type="paragraph" w:styleId="Titre7">
    <w:name w:val="heading 7"/>
    <w:basedOn w:val="Normal"/>
    <w:next w:val="Normal"/>
    <w:link w:val="Titre7Car"/>
    <w:semiHidden/>
    <w:unhideWhenUsed/>
    <w:qFormat/>
    <w:rsid w:val="00F32011"/>
    <w:pPr>
      <w:keepNext/>
      <w:keepLines/>
      <w:numPr>
        <w:ilvl w:val="6"/>
        <w:numId w:val="2"/>
      </w:numPr>
      <w:spacing w:before="200"/>
      <w:outlineLvl w:val="6"/>
    </w:pPr>
    <w:rPr>
      <w:rFonts w:ascii="Times New Roman" w:eastAsia="Times New Roman" w:hAnsi="Times New Roman" w:cs="Times New Roman"/>
      <w:i/>
      <w:iCs/>
      <w:color w:val="404040"/>
      <w:sz w:val="24"/>
      <w:szCs w:val="24"/>
      <w:lang w:eastAsia="fr-FR"/>
    </w:rPr>
  </w:style>
  <w:style w:type="paragraph" w:styleId="Titre8">
    <w:name w:val="heading 8"/>
    <w:basedOn w:val="Normal"/>
    <w:next w:val="Normal"/>
    <w:link w:val="Titre8Car"/>
    <w:uiPriority w:val="9"/>
    <w:semiHidden/>
    <w:unhideWhenUsed/>
    <w:qFormat/>
    <w:rsid w:val="00F32011"/>
    <w:pPr>
      <w:keepNext/>
      <w:keepLines/>
      <w:numPr>
        <w:ilvl w:val="7"/>
        <w:numId w:val="2"/>
      </w:numPr>
      <w:spacing w:before="200"/>
      <w:outlineLvl w:val="7"/>
    </w:pPr>
    <w:rPr>
      <w:rFonts w:asciiTheme="majorHAnsi" w:eastAsiaTheme="majorEastAsia" w:hAnsiTheme="majorHAnsi" w:cstheme="majorBidi"/>
      <w:color w:val="404040" w:themeColor="text1" w:themeTint="BF"/>
      <w:szCs w:val="20"/>
    </w:rPr>
  </w:style>
  <w:style w:type="paragraph" w:styleId="Titre9">
    <w:name w:val="heading 9"/>
    <w:basedOn w:val="Normal"/>
    <w:next w:val="Normal"/>
    <w:link w:val="Titre9Car"/>
    <w:uiPriority w:val="9"/>
    <w:semiHidden/>
    <w:unhideWhenUsed/>
    <w:qFormat/>
    <w:rsid w:val="00F32011"/>
    <w:pPr>
      <w:keepNext/>
      <w:keepLines/>
      <w:numPr>
        <w:ilvl w:val="8"/>
        <w:numId w:val="2"/>
      </w:numPr>
      <w:spacing w:before="200"/>
      <w:outlineLvl w:val="8"/>
    </w:pPr>
    <w:rPr>
      <w:rFonts w:asciiTheme="majorHAnsi" w:eastAsiaTheme="majorEastAsia" w:hAnsiTheme="majorHAnsi" w:cstheme="majorBidi"/>
      <w:i/>
      <w:iCs/>
      <w:color w:val="404040" w:themeColor="text1" w:themeTint="BF"/>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rticle">
    <w:name w:val="Article"/>
    <w:basedOn w:val="Normal"/>
    <w:link w:val="ArticleCar"/>
    <w:uiPriority w:val="1"/>
    <w:semiHidden/>
    <w:rsid w:val="007D494B"/>
    <w:pPr>
      <w:keepLines/>
      <w:numPr>
        <w:numId w:val="1"/>
      </w:numPr>
      <w:ind w:left="1134" w:hanging="1134"/>
    </w:pPr>
    <w:rPr>
      <w:rFonts w:eastAsia="Times New Roman" w:cs="Times New Roman"/>
      <w:color w:val="auto"/>
      <w:szCs w:val="24"/>
      <w:lang w:eastAsia="fr-FR"/>
    </w:rPr>
  </w:style>
  <w:style w:type="character" w:customStyle="1" w:styleId="ArticleCar">
    <w:name w:val="Article Car"/>
    <w:link w:val="Article"/>
    <w:uiPriority w:val="1"/>
    <w:semiHidden/>
    <w:rsid w:val="00A54D25"/>
    <w:rPr>
      <w:rFonts w:eastAsia="Times New Roman" w:cs="Times New Roman"/>
      <w:bCs/>
      <w:sz w:val="20"/>
      <w:szCs w:val="24"/>
      <w:lang w:eastAsia="fr-FR"/>
    </w:rPr>
  </w:style>
  <w:style w:type="paragraph" w:customStyle="1" w:styleId="Titrtableau">
    <w:name w:val="Titr tableau"/>
    <w:basedOn w:val="Sansinterligne"/>
    <w:link w:val="TitrtableauCar"/>
    <w:uiPriority w:val="22"/>
    <w:qFormat/>
    <w:rsid w:val="00CF3CBF"/>
    <w:pPr>
      <w:keepNext/>
      <w:jc w:val="center"/>
    </w:pPr>
    <w:rPr>
      <w:rFonts w:eastAsia="Times New Roman" w:cs="Times New Roman"/>
      <w:color w:val="232253" w:themeColor="text2"/>
      <w:sz w:val="21"/>
      <w:szCs w:val="20"/>
      <w:lang w:eastAsia="fr-FR"/>
    </w:rPr>
  </w:style>
  <w:style w:type="paragraph" w:customStyle="1" w:styleId="Tableau">
    <w:name w:val="Tableau"/>
    <w:basedOn w:val="Titrtableau"/>
    <w:link w:val="TableauCar"/>
    <w:uiPriority w:val="22"/>
    <w:qFormat/>
    <w:rsid w:val="004D719B"/>
    <w:rPr>
      <w:color w:val="000000" w:themeColor="text1"/>
    </w:rPr>
  </w:style>
  <w:style w:type="character" w:customStyle="1" w:styleId="SansinterligneCar">
    <w:name w:val="Sans interligne Car"/>
    <w:basedOn w:val="Policepardfaut"/>
    <w:link w:val="Sansinterligne"/>
    <w:uiPriority w:val="29"/>
    <w:rsid w:val="00DA0517"/>
    <w:rPr>
      <w:color w:val="000000" w:themeColor="text1"/>
      <w:sz w:val="20"/>
    </w:rPr>
  </w:style>
  <w:style w:type="character" w:customStyle="1" w:styleId="TitrtableauCar">
    <w:name w:val="Titr tableau Car"/>
    <w:basedOn w:val="SansinterligneCar"/>
    <w:link w:val="Titrtableau"/>
    <w:uiPriority w:val="22"/>
    <w:rsid w:val="00DA0517"/>
    <w:rPr>
      <w:rFonts w:eastAsia="Times New Roman" w:cs="Times New Roman"/>
      <w:color w:val="232253" w:themeColor="text2"/>
      <w:sz w:val="21"/>
      <w:szCs w:val="20"/>
      <w:lang w:eastAsia="fr-FR"/>
    </w:rPr>
  </w:style>
  <w:style w:type="character" w:customStyle="1" w:styleId="Titre1Car">
    <w:name w:val="Titre 1 Car"/>
    <w:basedOn w:val="Policepardfaut"/>
    <w:link w:val="Titre1"/>
    <w:uiPriority w:val="6"/>
    <w:rsid w:val="00E83D82"/>
    <w:rPr>
      <w:rFonts w:asciiTheme="majorHAnsi" w:eastAsiaTheme="majorEastAsia" w:hAnsiTheme="majorHAnsi" w:cstheme="majorHAnsi"/>
      <w:b/>
      <w:color w:val="232253" w:themeColor="text2"/>
      <w:sz w:val="28"/>
      <w:szCs w:val="26"/>
    </w:rPr>
  </w:style>
  <w:style w:type="character" w:customStyle="1" w:styleId="Titre2Car">
    <w:name w:val="Titre 2 Car"/>
    <w:basedOn w:val="Policepardfaut"/>
    <w:link w:val="Titre2"/>
    <w:uiPriority w:val="6"/>
    <w:rsid w:val="003A675F"/>
    <w:rPr>
      <w:rFonts w:asciiTheme="majorHAnsi" w:eastAsiaTheme="majorEastAsia" w:hAnsiTheme="majorHAnsi" w:cstheme="majorHAnsi"/>
      <w:b/>
      <w:color w:val="E56463" w:themeColor="accent3"/>
      <w:sz w:val="26"/>
      <w:szCs w:val="26"/>
    </w:rPr>
  </w:style>
  <w:style w:type="character" w:customStyle="1" w:styleId="Titre3Car">
    <w:name w:val="Titre 3 Car"/>
    <w:basedOn w:val="Policepardfaut"/>
    <w:link w:val="Titre3"/>
    <w:uiPriority w:val="6"/>
    <w:rsid w:val="00373D6C"/>
    <w:rPr>
      <w:rFonts w:asciiTheme="majorHAnsi" w:eastAsiaTheme="majorEastAsia" w:hAnsiTheme="majorHAnsi" w:cstheme="minorHAnsi"/>
      <w:color w:val="232253" w:themeColor="text2"/>
      <w:sz w:val="24"/>
      <w:szCs w:val="26"/>
    </w:rPr>
  </w:style>
  <w:style w:type="character" w:customStyle="1" w:styleId="Titre4Car">
    <w:name w:val="Titre 4 Car"/>
    <w:basedOn w:val="Policepardfaut"/>
    <w:link w:val="Titre4"/>
    <w:uiPriority w:val="6"/>
    <w:rsid w:val="00A54D25"/>
    <w:rPr>
      <w:rFonts w:eastAsiaTheme="majorEastAsia" w:cstheme="minorHAnsi"/>
      <w:iCs/>
      <w:color w:val="E56463" w:themeColor="accent3"/>
      <w:sz w:val="20"/>
      <w:szCs w:val="18"/>
    </w:rPr>
  </w:style>
  <w:style w:type="character" w:customStyle="1" w:styleId="Titre7Car">
    <w:name w:val="Titre 7 Car"/>
    <w:basedOn w:val="Policepardfaut"/>
    <w:link w:val="Titre7"/>
    <w:semiHidden/>
    <w:rsid w:val="00F32011"/>
    <w:rPr>
      <w:rFonts w:ascii="Times New Roman" w:eastAsia="Times New Roman" w:hAnsi="Times New Roman" w:cs="Times New Roman"/>
      <w:bCs/>
      <w:i/>
      <w:iCs/>
      <w:color w:val="404040"/>
      <w:sz w:val="24"/>
      <w:szCs w:val="24"/>
      <w:lang w:eastAsia="fr-FR"/>
    </w:rPr>
  </w:style>
  <w:style w:type="character" w:customStyle="1" w:styleId="Titre8Car">
    <w:name w:val="Titre 8 Car"/>
    <w:basedOn w:val="Policepardfaut"/>
    <w:link w:val="Titre8"/>
    <w:uiPriority w:val="9"/>
    <w:semiHidden/>
    <w:rsid w:val="00F32011"/>
    <w:rPr>
      <w:rFonts w:asciiTheme="majorHAnsi" w:eastAsiaTheme="majorEastAsia" w:hAnsiTheme="majorHAnsi" w:cstheme="majorBidi"/>
      <w:bCs/>
      <w:color w:val="404040" w:themeColor="text1" w:themeTint="BF"/>
      <w:sz w:val="20"/>
      <w:szCs w:val="20"/>
    </w:rPr>
  </w:style>
  <w:style w:type="character" w:customStyle="1" w:styleId="Titre9Car">
    <w:name w:val="Titre 9 Car"/>
    <w:basedOn w:val="Policepardfaut"/>
    <w:link w:val="Titre9"/>
    <w:uiPriority w:val="9"/>
    <w:semiHidden/>
    <w:rsid w:val="00F32011"/>
    <w:rPr>
      <w:rFonts w:asciiTheme="majorHAnsi" w:eastAsiaTheme="majorEastAsia" w:hAnsiTheme="majorHAnsi" w:cstheme="majorBidi"/>
      <w:bCs/>
      <w:i/>
      <w:iCs/>
      <w:color w:val="404040" w:themeColor="text1" w:themeTint="BF"/>
      <w:sz w:val="20"/>
      <w:szCs w:val="20"/>
    </w:rPr>
  </w:style>
  <w:style w:type="paragraph" w:styleId="Notedebasdepage">
    <w:name w:val="footnote text"/>
    <w:basedOn w:val="Normal"/>
    <w:link w:val="NotedebasdepageCar"/>
    <w:semiHidden/>
    <w:qFormat/>
    <w:rsid w:val="008131FE"/>
    <w:pPr>
      <w:spacing w:before="60" w:after="60"/>
    </w:pPr>
    <w:rPr>
      <w:rFonts w:eastAsia="Times New Roman" w:cs="Times New Roman"/>
      <w:color w:val="auto"/>
      <w:sz w:val="18"/>
      <w:szCs w:val="20"/>
      <w:lang w:eastAsia="fr-FR"/>
    </w:rPr>
  </w:style>
  <w:style w:type="character" w:customStyle="1" w:styleId="NotedebasdepageCar">
    <w:name w:val="Note de bas de page Car"/>
    <w:basedOn w:val="Policepardfaut"/>
    <w:link w:val="Notedebasdepage"/>
    <w:semiHidden/>
    <w:rsid w:val="008131FE"/>
    <w:rPr>
      <w:rFonts w:eastAsia="Times New Roman" w:cs="Times New Roman"/>
      <w:sz w:val="18"/>
      <w:szCs w:val="20"/>
      <w:lang w:eastAsia="fr-FR"/>
    </w:rPr>
  </w:style>
  <w:style w:type="paragraph" w:styleId="Pieddepage">
    <w:name w:val="footer"/>
    <w:link w:val="PieddepageCar"/>
    <w:uiPriority w:val="17"/>
    <w:qFormat/>
    <w:rsid w:val="00A249F5"/>
    <w:pPr>
      <w:tabs>
        <w:tab w:val="right" w:pos="9639"/>
      </w:tabs>
      <w:spacing w:after="0" w:line="240" w:lineRule="auto"/>
    </w:pPr>
    <w:rPr>
      <w:color w:val="000000" w:themeColor="text1"/>
      <w:sz w:val="18"/>
    </w:rPr>
  </w:style>
  <w:style w:type="character" w:customStyle="1" w:styleId="PieddepageCar">
    <w:name w:val="Pied de page Car"/>
    <w:basedOn w:val="Policepardfaut"/>
    <w:link w:val="Pieddepage"/>
    <w:uiPriority w:val="17"/>
    <w:rsid w:val="008160DE"/>
    <w:rPr>
      <w:color w:val="000000" w:themeColor="text1"/>
      <w:sz w:val="18"/>
    </w:rPr>
  </w:style>
  <w:style w:type="paragraph" w:styleId="Lgende">
    <w:name w:val="caption"/>
    <w:basedOn w:val="Normal"/>
    <w:next w:val="Normal"/>
    <w:uiPriority w:val="25"/>
    <w:qFormat/>
    <w:rsid w:val="003338E3"/>
    <w:pPr>
      <w:spacing w:before="60"/>
      <w:jc w:val="center"/>
    </w:pPr>
    <w:rPr>
      <w:bCs w:val="0"/>
    </w:rPr>
  </w:style>
  <w:style w:type="paragraph" w:styleId="Listepuces">
    <w:name w:val="List Bullet"/>
    <w:basedOn w:val="Paragraphedeliste"/>
    <w:uiPriority w:val="11"/>
    <w:qFormat/>
    <w:rsid w:val="007E6BF9"/>
    <w:pPr>
      <w:numPr>
        <w:numId w:val="5"/>
      </w:numPr>
      <w:ind w:left="567" w:hanging="283"/>
    </w:pPr>
    <w:rPr>
      <w:rFonts w:eastAsia="Times New Roman" w:cs="Arial"/>
      <w:color w:val="auto"/>
      <w:lang w:val="fr-FR" w:eastAsia="fr-FR"/>
    </w:rPr>
  </w:style>
  <w:style w:type="paragraph" w:styleId="Paragraphedeliste">
    <w:name w:val="List Paragraph"/>
    <w:basedOn w:val="Normal"/>
    <w:uiPriority w:val="15"/>
    <w:qFormat/>
    <w:rsid w:val="007E6BF9"/>
    <w:pPr>
      <w:numPr>
        <w:numId w:val="6"/>
      </w:numPr>
      <w:spacing w:before="60" w:after="60"/>
    </w:pPr>
    <w:rPr>
      <w:lang w:val="en-US"/>
    </w:rPr>
  </w:style>
  <w:style w:type="paragraph" w:styleId="Listenumros">
    <w:name w:val="List Number"/>
    <w:basedOn w:val="Paragraphedeliste"/>
    <w:uiPriority w:val="13"/>
    <w:qFormat/>
    <w:rsid w:val="007E6BF9"/>
    <w:pPr>
      <w:numPr>
        <w:numId w:val="3"/>
      </w:numPr>
    </w:pPr>
  </w:style>
  <w:style w:type="paragraph" w:styleId="Listepuces2">
    <w:name w:val="List Bullet 2"/>
    <w:basedOn w:val="Paragraphedeliste"/>
    <w:uiPriority w:val="12"/>
    <w:qFormat/>
    <w:rsid w:val="007E6BF9"/>
    <w:pPr>
      <w:numPr>
        <w:numId w:val="7"/>
      </w:numPr>
      <w:ind w:left="851" w:hanging="284"/>
    </w:pPr>
    <w:rPr>
      <w:rFonts w:eastAsia="Times New Roman" w:cs="Arial"/>
      <w:color w:val="auto"/>
      <w:lang w:eastAsia="fr-FR"/>
    </w:rPr>
  </w:style>
  <w:style w:type="paragraph" w:styleId="Listenumros2">
    <w:name w:val="List Number 2"/>
    <w:basedOn w:val="Paragraphedeliste"/>
    <w:uiPriority w:val="14"/>
    <w:unhideWhenUsed/>
    <w:qFormat/>
    <w:rsid w:val="007E6BF9"/>
    <w:pPr>
      <w:numPr>
        <w:ilvl w:val="1"/>
        <w:numId w:val="4"/>
      </w:numPr>
    </w:pPr>
  </w:style>
  <w:style w:type="paragraph" w:styleId="Titre">
    <w:name w:val="Title"/>
    <w:basedOn w:val="Normal"/>
    <w:next w:val="Normal"/>
    <w:link w:val="TitreCar"/>
    <w:uiPriority w:val="4"/>
    <w:qFormat/>
    <w:rsid w:val="005F5154"/>
    <w:pPr>
      <w:spacing w:before="240" w:after="240"/>
      <w:contextualSpacing/>
      <w:jc w:val="center"/>
    </w:pPr>
    <w:rPr>
      <w:rFonts w:asciiTheme="majorHAnsi" w:eastAsiaTheme="majorEastAsia" w:hAnsiTheme="majorHAnsi" w:cstheme="majorHAnsi"/>
      <w:b/>
      <w:kern w:val="28"/>
      <w:sz w:val="28"/>
      <w:szCs w:val="30"/>
    </w:rPr>
  </w:style>
  <w:style w:type="character" w:customStyle="1" w:styleId="TitreCar">
    <w:name w:val="Titre Car"/>
    <w:basedOn w:val="Policepardfaut"/>
    <w:link w:val="Titre"/>
    <w:uiPriority w:val="4"/>
    <w:rsid w:val="005F5154"/>
    <w:rPr>
      <w:rFonts w:asciiTheme="majorHAnsi" w:eastAsiaTheme="majorEastAsia" w:hAnsiTheme="majorHAnsi" w:cstheme="majorHAnsi"/>
      <w:b/>
      <w:color w:val="232253" w:themeColor="text2"/>
      <w:kern w:val="28"/>
      <w:sz w:val="28"/>
      <w:szCs w:val="30"/>
    </w:rPr>
  </w:style>
  <w:style w:type="paragraph" w:styleId="Sansinterligne">
    <w:name w:val="No Spacing"/>
    <w:link w:val="SansinterligneCar"/>
    <w:uiPriority w:val="29"/>
    <w:unhideWhenUsed/>
    <w:qFormat/>
    <w:rsid w:val="00F32011"/>
    <w:pPr>
      <w:spacing w:after="0" w:line="240" w:lineRule="auto"/>
      <w:jc w:val="both"/>
    </w:pPr>
    <w:rPr>
      <w:color w:val="000000" w:themeColor="text1"/>
      <w:sz w:val="20"/>
    </w:rPr>
  </w:style>
  <w:style w:type="paragraph" w:styleId="Citation">
    <w:name w:val="Quote"/>
    <w:basedOn w:val="Normal"/>
    <w:next w:val="Normal"/>
    <w:link w:val="CitationCar"/>
    <w:uiPriority w:val="29"/>
    <w:qFormat/>
    <w:rsid w:val="003E7DDC"/>
    <w:pPr>
      <w:ind w:left="284"/>
    </w:pPr>
    <w:rPr>
      <w:i/>
      <w:iCs/>
    </w:rPr>
  </w:style>
  <w:style w:type="character" w:customStyle="1" w:styleId="CitationCar">
    <w:name w:val="Citation Car"/>
    <w:basedOn w:val="Policepardfaut"/>
    <w:link w:val="Citation"/>
    <w:uiPriority w:val="29"/>
    <w:rsid w:val="003E7DDC"/>
    <w:rPr>
      <w:i/>
      <w:iCs/>
      <w:color w:val="000000"/>
      <w:szCs w:val="21"/>
    </w:rPr>
  </w:style>
  <w:style w:type="character" w:customStyle="1" w:styleId="Titre5Car">
    <w:name w:val="Titre 5 Car"/>
    <w:basedOn w:val="Policepardfaut"/>
    <w:link w:val="Titre5"/>
    <w:uiPriority w:val="6"/>
    <w:rsid w:val="008160DE"/>
    <w:rPr>
      <w:rFonts w:eastAsia="Times New Roman" w:cs="Times New Roman"/>
      <w:b/>
      <w:szCs w:val="24"/>
      <w:lang w:eastAsia="fr-FR"/>
    </w:rPr>
  </w:style>
  <w:style w:type="character" w:customStyle="1" w:styleId="Titre6Car">
    <w:name w:val="Titre 6 Car"/>
    <w:basedOn w:val="Policepardfaut"/>
    <w:link w:val="Titre6"/>
    <w:uiPriority w:val="6"/>
    <w:semiHidden/>
    <w:rsid w:val="00E83D82"/>
    <w:rPr>
      <w:rFonts w:eastAsia="Times New Roman" w:cs="Times New Roman"/>
      <w:i/>
      <w:iCs/>
      <w:color w:val="275277"/>
      <w:szCs w:val="24"/>
      <w:lang w:eastAsia="fr-FR"/>
    </w:rPr>
  </w:style>
  <w:style w:type="paragraph" w:styleId="En-tte">
    <w:name w:val="header"/>
    <w:link w:val="En-tteCar"/>
    <w:uiPriority w:val="99"/>
    <w:unhideWhenUsed/>
    <w:rsid w:val="00027AFD"/>
    <w:pPr>
      <w:tabs>
        <w:tab w:val="center" w:pos="4513"/>
        <w:tab w:val="right" w:pos="9026"/>
      </w:tabs>
      <w:spacing w:after="0" w:line="240" w:lineRule="auto"/>
      <w:jc w:val="right"/>
    </w:pPr>
    <w:rPr>
      <w:caps/>
      <w:color w:val="000000" w:themeColor="text1"/>
      <w:sz w:val="18"/>
    </w:rPr>
  </w:style>
  <w:style w:type="character" w:customStyle="1" w:styleId="En-tteCar">
    <w:name w:val="En-tête Car"/>
    <w:basedOn w:val="Policepardfaut"/>
    <w:link w:val="En-tte"/>
    <w:uiPriority w:val="99"/>
    <w:rsid w:val="00027AFD"/>
    <w:rPr>
      <w:caps/>
      <w:color w:val="000000" w:themeColor="text1"/>
      <w:sz w:val="18"/>
    </w:rPr>
  </w:style>
  <w:style w:type="character" w:styleId="Appelnotedebasdep">
    <w:name w:val="footnote reference"/>
    <w:basedOn w:val="Policepardfaut"/>
    <w:uiPriority w:val="28"/>
    <w:rsid w:val="00027AFD"/>
    <w:rPr>
      <w:vertAlign w:val="superscript"/>
    </w:rPr>
  </w:style>
  <w:style w:type="table" w:styleId="Colonnesdetableau4">
    <w:name w:val="Table Columns 4"/>
    <w:aliases w:val="Tableau Arcep sans grille"/>
    <w:basedOn w:val="TableauNormal"/>
    <w:rsid w:val="00583195"/>
    <w:pPr>
      <w:spacing w:after="0" w:line="240" w:lineRule="auto"/>
      <w:contextualSpacing/>
      <w:jc w:val="center"/>
    </w:pPr>
    <w:rPr>
      <w:rFonts w:eastAsia="Times New Roman" w:cs="Times New Roman"/>
      <w:color w:val="000000" w:themeColor="text1"/>
      <w:szCs w:val="20"/>
      <w:lang w:eastAsia="fr-FR"/>
    </w:rPr>
    <w:tblPr>
      <w:tblStyleColBandSize w:val="1"/>
      <w:jc w:val="center"/>
      <w:tblBorders>
        <w:insideH w:val="single" w:sz="8" w:space="0" w:color="232253" w:themeColor="text2"/>
      </w:tblBorders>
    </w:tblPr>
    <w:trPr>
      <w:jc w:val="center"/>
    </w:trPr>
    <w:tcPr>
      <w:vAlign w:val="center"/>
    </w:tcPr>
    <w:tblStylePr w:type="firstRow">
      <w:pPr>
        <w:jc w:val="center"/>
      </w:pPr>
      <w:rPr>
        <w:rFonts w:asciiTheme="minorHAnsi" w:hAnsiTheme="minorHAnsi"/>
        <w:b/>
        <w:color w:val="FFFFFF"/>
      </w:rPr>
      <w:tblPr/>
      <w:tcPr>
        <w:tcBorders>
          <w:bottom w:val="single" w:sz="18" w:space="0" w:color="232253" w:themeColor="text2"/>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paragraph" w:styleId="Signature">
    <w:name w:val="Signature"/>
    <w:aliases w:val="Nom signataire"/>
    <w:basedOn w:val="Normal"/>
    <w:next w:val="Normal"/>
    <w:link w:val="SignatureCar"/>
    <w:uiPriority w:val="5"/>
    <w:semiHidden/>
    <w:rsid w:val="0064069D"/>
    <w:pPr>
      <w:spacing w:before="840"/>
      <w:ind w:left="5670"/>
    </w:pPr>
  </w:style>
  <w:style w:type="character" w:customStyle="1" w:styleId="SignatureCar">
    <w:name w:val="Signature Car"/>
    <w:aliases w:val="Nom signataire Car"/>
    <w:basedOn w:val="Policepardfaut"/>
    <w:link w:val="Signature"/>
    <w:uiPriority w:val="5"/>
    <w:semiHidden/>
    <w:rsid w:val="00A54D25"/>
    <w:rPr>
      <w:color w:val="000000"/>
      <w:szCs w:val="21"/>
    </w:rPr>
  </w:style>
  <w:style w:type="paragraph" w:styleId="Textedebulles">
    <w:name w:val="Balloon Text"/>
    <w:basedOn w:val="Normal"/>
    <w:link w:val="TextedebullesCar"/>
    <w:uiPriority w:val="99"/>
    <w:semiHidden/>
    <w:unhideWhenUsed/>
    <w:rsid w:val="00417039"/>
    <w:rPr>
      <w:rFonts w:ascii="Tahoma" w:hAnsi="Tahoma" w:cs="Tahoma"/>
      <w:sz w:val="16"/>
      <w:szCs w:val="16"/>
    </w:rPr>
  </w:style>
  <w:style w:type="character" w:customStyle="1" w:styleId="TextedebullesCar">
    <w:name w:val="Texte de bulles Car"/>
    <w:basedOn w:val="Policepardfaut"/>
    <w:link w:val="Textedebulles"/>
    <w:uiPriority w:val="99"/>
    <w:semiHidden/>
    <w:rsid w:val="00417039"/>
    <w:rPr>
      <w:rFonts w:ascii="Tahoma" w:hAnsi="Tahoma" w:cs="Tahoma"/>
      <w:color w:val="000000" w:themeColor="text1"/>
      <w:sz w:val="16"/>
      <w:szCs w:val="16"/>
    </w:rPr>
  </w:style>
  <w:style w:type="table" w:styleId="Grilledutableau">
    <w:name w:val="Table Grid"/>
    <w:basedOn w:val="TableauNormal"/>
    <w:uiPriority w:val="59"/>
    <w:rsid w:val="000B4E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auCar">
    <w:name w:val="Tableau Car"/>
    <w:basedOn w:val="TitrtableauCar"/>
    <w:link w:val="Tableau"/>
    <w:uiPriority w:val="22"/>
    <w:rsid w:val="00DA0517"/>
    <w:rPr>
      <w:rFonts w:eastAsia="Times New Roman" w:cs="Times New Roman"/>
      <w:color w:val="000000" w:themeColor="text1"/>
      <w:sz w:val="21"/>
      <w:szCs w:val="20"/>
      <w:lang w:eastAsia="fr-FR"/>
    </w:rPr>
  </w:style>
  <w:style w:type="paragraph" w:customStyle="1" w:styleId="Image">
    <w:name w:val="Image"/>
    <w:basedOn w:val="Normal"/>
    <w:next w:val="Lgende"/>
    <w:link w:val="ImageCar"/>
    <w:uiPriority w:val="24"/>
    <w:qFormat/>
    <w:rsid w:val="004D719B"/>
    <w:pPr>
      <w:keepNext/>
      <w:jc w:val="center"/>
    </w:pPr>
    <w:rPr>
      <w:noProof/>
      <w:lang w:eastAsia="fr-FR"/>
    </w:rPr>
  </w:style>
  <w:style w:type="paragraph" w:customStyle="1" w:styleId="Encadr">
    <w:name w:val="Encadré"/>
    <w:basedOn w:val="Normal"/>
    <w:link w:val="EncadrCar"/>
    <w:uiPriority w:val="19"/>
    <w:qFormat/>
    <w:rsid w:val="004D719B"/>
    <w:pPr>
      <w:pBdr>
        <w:top w:val="single" w:sz="6" w:space="1" w:color="232253" w:themeColor="text2"/>
        <w:left w:val="single" w:sz="6" w:space="4" w:color="232253" w:themeColor="text2"/>
        <w:bottom w:val="single" w:sz="6" w:space="1" w:color="232253" w:themeColor="text2"/>
        <w:right w:val="single" w:sz="6" w:space="4" w:color="232253" w:themeColor="text2"/>
      </w:pBdr>
      <w:shd w:val="clear" w:color="auto" w:fill="F4F2EF" w:themeFill="background2" w:themeFillTint="33"/>
    </w:pPr>
  </w:style>
  <w:style w:type="character" w:customStyle="1" w:styleId="ImageCar">
    <w:name w:val="Image Car"/>
    <w:basedOn w:val="Policepardfaut"/>
    <w:link w:val="Image"/>
    <w:uiPriority w:val="24"/>
    <w:rsid w:val="00E83D82"/>
    <w:rPr>
      <w:noProof/>
      <w:color w:val="000000"/>
      <w:szCs w:val="21"/>
      <w:lang w:eastAsia="fr-FR"/>
    </w:rPr>
  </w:style>
  <w:style w:type="character" w:customStyle="1" w:styleId="EncadrCar">
    <w:name w:val="Encadré Car"/>
    <w:basedOn w:val="Policepardfaut"/>
    <w:link w:val="Encadr"/>
    <w:uiPriority w:val="19"/>
    <w:rsid w:val="00E83D82"/>
    <w:rPr>
      <w:color w:val="000000"/>
      <w:szCs w:val="21"/>
      <w:shd w:val="clear" w:color="auto" w:fill="F4F2EF" w:themeFill="background2" w:themeFillTint="33"/>
    </w:rPr>
  </w:style>
  <w:style w:type="paragraph" w:customStyle="1" w:styleId="Paravliste">
    <w:name w:val="Par. av liste"/>
    <w:basedOn w:val="Normal"/>
    <w:next w:val="Listepuces"/>
    <w:link w:val="ParavlisteCar"/>
    <w:uiPriority w:val="10"/>
    <w:qFormat/>
    <w:rsid w:val="00941B2B"/>
    <w:pPr>
      <w:keepNext/>
    </w:pPr>
  </w:style>
  <w:style w:type="paragraph" w:customStyle="1" w:styleId="Dcide">
    <w:name w:val="Décide"/>
    <w:basedOn w:val="Normal"/>
    <w:link w:val="DcideCar"/>
    <w:uiPriority w:val="2"/>
    <w:semiHidden/>
    <w:rsid w:val="00441B27"/>
    <w:pPr>
      <w:keepNext/>
      <w:spacing w:before="360" w:after="240"/>
    </w:pPr>
    <w:rPr>
      <w:b/>
    </w:rPr>
  </w:style>
  <w:style w:type="character" w:customStyle="1" w:styleId="ParavlisteCar">
    <w:name w:val="Par. av liste Car"/>
    <w:basedOn w:val="Policepardfaut"/>
    <w:link w:val="Paravliste"/>
    <w:uiPriority w:val="10"/>
    <w:rsid w:val="00E83D82"/>
    <w:rPr>
      <w:color w:val="000000"/>
      <w:szCs w:val="21"/>
    </w:rPr>
  </w:style>
  <w:style w:type="paragraph" w:customStyle="1" w:styleId="Fonctionsignataire">
    <w:name w:val="Fonction signataire"/>
    <w:basedOn w:val="Signature"/>
    <w:next w:val="Signature"/>
    <w:link w:val="FonctionsignataireCar"/>
    <w:uiPriority w:val="4"/>
    <w:semiHidden/>
    <w:rsid w:val="00441B27"/>
    <w:pPr>
      <w:keepNext/>
      <w:spacing w:before="120" w:after="840"/>
    </w:pPr>
  </w:style>
  <w:style w:type="character" w:customStyle="1" w:styleId="DcideCar">
    <w:name w:val="Décide Car"/>
    <w:basedOn w:val="Policepardfaut"/>
    <w:link w:val="Dcide"/>
    <w:uiPriority w:val="2"/>
    <w:semiHidden/>
    <w:rsid w:val="00A54D25"/>
    <w:rPr>
      <w:b/>
      <w:color w:val="000000"/>
      <w:szCs w:val="21"/>
    </w:rPr>
  </w:style>
  <w:style w:type="paragraph" w:customStyle="1" w:styleId="Lieuetdate">
    <w:name w:val="Lieu et date"/>
    <w:basedOn w:val="Normal"/>
    <w:next w:val="Fonctionsignataire"/>
    <w:link w:val="LieuetdateCar"/>
    <w:uiPriority w:val="3"/>
    <w:semiHidden/>
    <w:rsid w:val="008131FE"/>
    <w:pPr>
      <w:keepNext/>
      <w:spacing w:before="360"/>
    </w:pPr>
  </w:style>
  <w:style w:type="character" w:customStyle="1" w:styleId="FonctionsignataireCar">
    <w:name w:val="Fonction signataire Car"/>
    <w:basedOn w:val="SignatureCar"/>
    <w:link w:val="Fonctionsignataire"/>
    <w:uiPriority w:val="4"/>
    <w:semiHidden/>
    <w:rsid w:val="00A54D25"/>
    <w:rPr>
      <w:color w:val="000000"/>
      <w:szCs w:val="21"/>
    </w:rPr>
  </w:style>
  <w:style w:type="character" w:customStyle="1" w:styleId="LieuetdateCar">
    <w:name w:val="Lieu et date Car"/>
    <w:basedOn w:val="Policepardfaut"/>
    <w:link w:val="Lieuetdate"/>
    <w:uiPriority w:val="3"/>
    <w:semiHidden/>
    <w:rsid w:val="00A54D25"/>
    <w:rPr>
      <w:color w:val="000000"/>
      <w:szCs w:val="21"/>
    </w:rPr>
  </w:style>
  <w:style w:type="table" w:styleId="Ombrageclair">
    <w:name w:val="Light Shading"/>
    <w:basedOn w:val="TableauNormal"/>
    <w:uiPriority w:val="60"/>
    <w:rsid w:val="00BE0C2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Tabledesillustrations">
    <w:name w:val="table of figures"/>
    <w:basedOn w:val="Normal"/>
    <w:next w:val="Normal"/>
    <w:uiPriority w:val="99"/>
    <w:unhideWhenUsed/>
    <w:rsid w:val="001E296D"/>
  </w:style>
  <w:style w:type="character" w:styleId="Lienhypertexte">
    <w:name w:val="Hyperlink"/>
    <w:basedOn w:val="Policepardfaut"/>
    <w:uiPriority w:val="99"/>
    <w:unhideWhenUsed/>
    <w:rsid w:val="003E7DDC"/>
    <w:rPr>
      <w:color w:val="084E8E" w:themeColor="accent1"/>
      <w:u w:val="single"/>
    </w:rPr>
  </w:style>
  <w:style w:type="character" w:styleId="Accentuation">
    <w:name w:val="Emphasis"/>
    <w:basedOn w:val="Policepardfaut"/>
    <w:uiPriority w:val="27"/>
    <w:qFormat/>
    <w:rsid w:val="003E7DDC"/>
    <w:rPr>
      <w:b/>
      <w:i w:val="0"/>
      <w:iCs/>
    </w:rPr>
  </w:style>
  <w:style w:type="paragraph" w:customStyle="1" w:styleId="Dlibr">
    <w:name w:val="Délibéré"/>
    <w:basedOn w:val="Normal"/>
    <w:link w:val="DlibrCar"/>
    <w:semiHidden/>
    <w:rsid w:val="00830277"/>
    <w:pPr>
      <w:spacing w:before="360"/>
    </w:pPr>
  </w:style>
  <w:style w:type="character" w:customStyle="1" w:styleId="DlibrCar">
    <w:name w:val="Délibéré Car"/>
    <w:basedOn w:val="Policepardfaut"/>
    <w:link w:val="Dlibr"/>
    <w:semiHidden/>
    <w:rsid w:val="00A54D25"/>
    <w:rPr>
      <w:color w:val="000000"/>
      <w:szCs w:val="21"/>
    </w:rPr>
  </w:style>
  <w:style w:type="paragraph" w:styleId="Sous-titre">
    <w:name w:val="Subtitle"/>
    <w:basedOn w:val="Normal"/>
    <w:next w:val="Normal"/>
    <w:link w:val="Sous-titreCar"/>
    <w:uiPriority w:val="5"/>
    <w:qFormat/>
    <w:rsid w:val="005F5154"/>
    <w:pPr>
      <w:numPr>
        <w:ilvl w:val="1"/>
      </w:numPr>
      <w:spacing w:before="240" w:after="840"/>
      <w:jc w:val="center"/>
    </w:pPr>
    <w:rPr>
      <w:rFonts w:asciiTheme="majorHAnsi" w:eastAsiaTheme="majorEastAsia" w:hAnsiTheme="majorHAnsi" w:cstheme="majorBidi"/>
      <w:b/>
      <w:iCs/>
      <w:color w:val="E56463" w:themeColor="accent3"/>
      <w:spacing w:val="15"/>
      <w:sz w:val="24"/>
      <w:szCs w:val="24"/>
    </w:rPr>
  </w:style>
  <w:style w:type="character" w:customStyle="1" w:styleId="Sous-titreCar">
    <w:name w:val="Sous-titre Car"/>
    <w:basedOn w:val="Policepardfaut"/>
    <w:link w:val="Sous-titre"/>
    <w:uiPriority w:val="5"/>
    <w:rsid w:val="005F5154"/>
    <w:rPr>
      <w:rFonts w:asciiTheme="majorHAnsi" w:eastAsiaTheme="majorEastAsia" w:hAnsiTheme="majorHAnsi" w:cstheme="majorBidi"/>
      <w:b/>
      <w:iCs/>
      <w:color w:val="E56463" w:themeColor="accent3"/>
      <w:spacing w:val="15"/>
      <w:sz w:val="24"/>
      <w:szCs w:val="24"/>
    </w:rPr>
  </w:style>
  <w:style w:type="table" w:customStyle="1" w:styleId="TableauArcep2">
    <w:name w:val="Tableau Arcep 2"/>
    <w:basedOn w:val="Colonnesdetableau4"/>
    <w:uiPriority w:val="99"/>
    <w:rsid w:val="00583195"/>
    <w:tblPr>
      <w:tblBorders>
        <w:top w:val="single" w:sz="4" w:space="0" w:color="232253" w:themeColor="text2"/>
        <w:left w:val="single" w:sz="4" w:space="0" w:color="232253" w:themeColor="text2"/>
        <w:bottom w:val="single" w:sz="4" w:space="0" w:color="232253" w:themeColor="text2"/>
        <w:right w:val="single" w:sz="4" w:space="0" w:color="232253" w:themeColor="text2"/>
        <w:insideH w:val="single" w:sz="4" w:space="0" w:color="232253" w:themeColor="text2"/>
        <w:insideV w:val="single" w:sz="4" w:space="0" w:color="232253" w:themeColor="text2"/>
      </w:tblBorders>
    </w:tblPr>
    <w:trPr>
      <w:cantSplit/>
    </w:trPr>
    <w:tcPr>
      <w:shd w:val="clear" w:color="auto" w:fill="auto"/>
    </w:tcPr>
    <w:tblStylePr w:type="firstRow">
      <w:pPr>
        <w:jc w:val="left"/>
      </w:pPr>
      <w:rPr>
        <w:rFonts w:asciiTheme="minorHAnsi" w:hAnsiTheme="minorHAnsi"/>
        <w:b/>
        <w:color w:val="auto"/>
        <w:sz w:val="22"/>
      </w:rPr>
      <w:tblPr/>
      <w:tcPr>
        <w:tcBorders>
          <w:bottom w:val="single" w:sz="12" w:space="0" w:color="232253" w:themeColor="text2"/>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character" w:styleId="Marquedecommentaire">
    <w:name w:val="annotation reference"/>
    <w:basedOn w:val="Policepardfaut"/>
    <w:uiPriority w:val="99"/>
    <w:semiHidden/>
    <w:unhideWhenUsed/>
    <w:rsid w:val="00AD4C35"/>
    <w:rPr>
      <w:sz w:val="16"/>
      <w:szCs w:val="16"/>
    </w:rPr>
  </w:style>
  <w:style w:type="paragraph" w:styleId="Commentaire">
    <w:name w:val="annotation text"/>
    <w:basedOn w:val="Normal"/>
    <w:link w:val="CommentaireCar"/>
    <w:uiPriority w:val="99"/>
    <w:semiHidden/>
    <w:unhideWhenUsed/>
    <w:rsid w:val="00AD4C35"/>
    <w:rPr>
      <w:szCs w:val="20"/>
    </w:rPr>
  </w:style>
  <w:style w:type="character" w:customStyle="1" w:styleId="CommentaireCar">
    <w:name w:val="Commentaire Car"/>
    <w:basedOn w:val="Policepardfaut"/>
    <w:link w:val="Commentaire"/>
    <w:uiPriority w:val="99"/>
    <w:semiHidden/>
    <w:rsid w:val="00AD4C35"/>
    <w:rPr>
      <w:rFonts w:cstheme="minorHAnsi"/>
      <w:bCs/>
      <w:color w:val="232253" w:themeColor="text2"/>
      <w:sz w:val="20"/>
      <w:szCs w:val="20"/>
    </w:rPr>
  </w:style>
  <w:style w:type="paragraph" w:styleId="Objetducommentaire">
    <w:name w:val="annotation subject"/>
    <w:basedOn w:val="Commentaire"/>
    <w:next w:val="Commentaire"/>
    <w:link w:val="ObjetducommentaireCar"/>
    <w:uiPriority w:val="99"/>
    <w:semiHidden/>
    <w:unhideWhenUsed/>
    <w:rsid w:val="00AD4C35"/>
    <w:rPr>
      <w:b/>
    </w:rPr>
  </w:style>
  <w:style w:type="character" w:customStyle="1" w:styleId="ObjetducommentaireCar">
    <w:name w:val="Objet du commentaire Car"/>
    <w:basedOn w:val="CommentaireCar"/>
    <w:link w:val="Objetducommentaire"/>
    <w:uiPriority w:val="99"/>
    <w:semiHidden/>
    <w:rsid w:val="00AD4C35"/>
    <w:rPr>
      <w:rFonts w:cstheme="minorHAnsi"/>
      <w:b/>
      <w:bCs/>
      <w:color w:val="232253" w:themeColor="text2"/>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6" w:qFormat="1"/>
    <w:lsdException w:name="heading 5" w:uiPriority="0"/>
    <w:lsdException w:name="heading 6" w:uiPriority="0"/>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footer" w:qFormat="1"/>
    <w:lsdException w:name="caption" w:uiPriority="25" w:qFormat="1"/>
    <w:lsdException w:name="footnote reference" w:uiPriority="0"/>
    <w:lsdException w:name="List Bullet" w:qFormat="1"/>
    <w:lsdException w:name="List Number" w:qFormat="1"/>
    <w:lsdException w:name="List Bullet 2" w:qFormat="1"/>
    <w:lsdException w:name="List Number 2" w:qFormat="1"/>
    <w:lsdException w:name="Title" w:semiHidden="0" w:uiPriority="10" w:unhideWhenUsed="0" w:qFormat="1"/>
    <w:lsdException w:name="Default Paragraph Font" w:uiPriority="1"/>
    <w:lsdException w:name="Subtitle" w:uiPriority="11" w:qFormat="1"/>
    <w:lsdException w:name="Strong" w:uiPriority="39" w:qFormat="1"/>
    <w:lsdException w:name="Emphasis" w:semiHidden="0" w:uiPriority="27" w:unhideWhenUsed="0" w:qFormat="1"/>
    <w:lsdException w:name="Table Columns 4"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5" w:unhideWhenUsed="0" w:qFormat="1"/>
    <w:lsdException w:name="Quote" w:semiHidden="0" w:uiPriority="29" w:unhideWhenUsed="0" w:qFormat="1"/>
    <w:lsdException w:name="Intense Quote" w:uiPriority="39"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39" w:qFormat="1"/>
    <w:lsdException w:name="Intense Emphasis" w:uiPriority="39" w:qFormat="1"/>
    <w:lsdException w:name="Subtle Reference" w:uiPriority="31" w:unhideWhenUsed="0" w:qFormat="1"/>
    <w:lsdException w:name="Intense Reference" w:uiPriority="32" w:qFormat="1"/>
    <w:lsdException w:name="Book Title" w:uiPriority="33" w:qFormat="1"/>
    <w:lsdException w:name="Bibliography" w:uiPriority="37"/>
    <w:lsdException w:name="TOC Heading" w:uiPriority="39" w:qFormat="1"/>
  </w:latentStyles>
  <w:style w:type="paragraph" w:default="1" w:styleId="Normal">
    <w:name w:val="Normal"/>
    <w:qFormat/>
    <w:rsid w:val="00732BE1"/>
    <w:pPr>
      <w:spacing w:after="0" w:line="240" w:lineRule="auto"/>
      <w:jc w:val="both"/>
    </w:pPr>
    <w:rPr>
      <w:rFonts w:cstheme="minorHAnsi"/>
      <w:bCs/>
      <w:color w:val="232253" w:themeColor="text2"/>
      <w:sz w:val="20"/>
      <w:szCs w:val="18"/>
    </w:rPr>
  </w:style>
  <w:style w:type="paragraph" w:styleId="Titre1">
    <w:name w:val="heading 1"/>
    <w:basedOn w:val="Normal"/>
    <w:next w:val="Normal"/>
    <w:link w:val="Titre1Car"/>
    <w:uiPriority w:val="6"/>
    <w:qFormat/>
    <w:rsid w:val="003338E3"/>
    <w:pPr>
      <w:keepNext/>
      <w:keepLines/>
      <w:numPr>
        <w:numId w:val="2"/>
      </w:numPr>
      <w:spacing w:before="480" w:after="240"/>
      <w:jc w:val="left"/>
      <w:outlineLvl w:val="0"/>
    </w:pPr>
    <w:rPr>
      <w:rFonts w:asciiTheme="majorHAnsi" w:eastAsiaTheme="majorEastAsia" w:hAnsiTheme="majorHAnsi" w:cstheme="majorHAnsi"/>
      <w:b/>
      <w:bCs w:val="0"/>
      <w:sz w:val="28"/>
      <w:szCs w:val="26"/>
    </w:rPr>
  </w:style>
  <w:style w:type="paragraph" w:styleId="Titre2">
    <w:name w:val="heading 2"/>
    <w:basedOn w:val="Normal"/>
    <w:next w:val="Normal"/>
    <w:link w:val="Titre2Car"/>
    <w:uiPriority w:val="6"/>
    <w:qFormat/>
    <w:rsid w:val="003A675F"/>
    <w:pPr>
      <w:keepNext/>
      <w:keepLines/>
      <w:numPr>
        <w:ilvl w:val="1"/>
        <w:numId w:val="2"/>
      </w:numPr>
      <w:spacing w:after="240"/>
      <w:ind w:left="1134" w:hanging="578"/>
      <w:jc w:val="left"/>
      <w:outlineLvl w:val="1"/>
    </w:pPr>
    <w:rPr>
      <w:rFonts w:asciiTheme="majorHAnsi" w:eastAsiaTheme="majorEastAsia" w:hAnsiTheme="majorHAnsi" w:cstheme="majorHAnsi"/>
      <w:b/>
      <w:bCs w:val="0"/>
      <w:color w:val="E56463" w:themeColor="accent3"/>
      <w:sz w:val="26"/>
      <w:szCs w:val="26"/>
    </w:rPr>
  </w:style>
  <w:style w:type="paragraph" w:styleId="Titre3">
    <w:name w:val="heading 3"/>
    <w:basedOn w:val="Normal"/>
    <w:next w:val="Normal"/>
    <w:link w:val="Titre3Car"/>
    <w:uiPriority w:val="6"/>
    <w:qFormat/>
    <w:rsid w:val="00373D6C"/>
    <w:pPr>
      <w:keepNext/>
      <w:keepLines/>
      <w:numPr>
        <w:ilvl w:val="2"/>
        <w:numId w:val="2"/>
      </w:numPr>
      <w:spacing w:before="240" w:after="240"/>
      <w:ind w:left="1701" w:hanging="737"/>
      <w:jc w:val="left"/>
      <w:outlineLvl w:val="2"/>
    </w:pPr>
    <w:rPr>
      <w:rFonts w:asciiTheme="majorHAnsi" w:eastAsiaTheme="majorEastAsia" w:hAnsiTheme="majorHAnsi"/>
      <w:bCs w:val="0"/>
      <w:sz w:val="24"/>
      <w:szCs w:val="26"/>
    </w:rPr>
  </w:style>
  <w:style w:type="paragraph" w:styleId="Titre4">
    <w:name w:val="heading 4"/>
    <w:basedOn w:val="Normal"/>
    <w:next w:val="Normal"/>
    <w:link w:val="Titre4Car"/>
    <w:uiPriority w:val="6"/>
    <w:unhideWhenUsed/>
    <w:qFormat/>
    <w:rsid w:val="00A54D25"/>
    <w:pPr>
      <w:keepNext/>
      <w:keepLines/>
      <w:numPr>
        <w:ilvl w:val="3"/>
        <w:numId w:val="2"/>
      </w:numPr>
      <w:jc w:val="left"/>
      <w:outlineLvl w:val="3"/>
    </w:pPr>
    <w:rPr>
      <w:rFonts w:eastAsiaTheme="majorEastAsia"/>
      <w:bCs w:val="0"/>
      <w:iCs/>
      <w:color w:val="E56463" w:themeColor="accent3"/>
    </w:rPr>
  </w:style>
  <w:style w:type="paragraph" w:styleId="Titre5">
    <w:name w:val="heading 5"/>
    <w:basedOn w:val="Normal"/>
    <w:next w:val="Normal"/>
    <w:link w:val="Titre5Car"/>
    <w:uiPriority w:val="6"/>
    <w:unhideWhenUsed/>
    <w:rsid w:val="000C2EA9"/>
    <w:pPr>
      <w:keepNext/>
      <w:keepLines/>
      <w:spacing w:before="200"/>
      <w:outlineLvl w:val="4"/>
    </w:pPr>
    <w:rPr>
      <w:rFonts w:eastAsia="Times New Roman" w:cs="Times New Roman"/>
      <w:b/>
      <w:color w:val="auto"/>
      <w:szCs w:val="24"/>
      <w:lang w:eastAsia="fr-FR"/>
    </w:rPr>
  </w:style>
  <w:style w:type="paragraph" w:styleId="Titre6">
    <w:name w:val="heading 6"/>
    <w:basedOn w:val="Normal"/>
    <w:next w:val="Normal"/>
    <w:link w:val="Titre6Car"/>
    <w:uiPriority w:val="6"/>
    <w:semiHidden/>
    <w:unhideWhenUsed/>
    <w:rsid w:val="000C2EA9"/>
    <w:pPr>
      <w:keepNext/>
      <w:keepLines/>
      <w:spacing w:before="200"/>
      <w:outlineLvl w:val="5"/>
    </w:pPr>
    <w:rPr>
      <w:rFonts w:eastAsia="Times New Roman" w:cs="Times New Roman"/>
      <w:i/>
      <w:iCs/>
      <w:color w:val="275277"/>
      <w:szCs w:val="24"/>
      <w:lang w:eastAsia="fr-FR"/>
    </w:rPr>
  </w:style>
  <w:style w:type="paragraph" w:styleId="Titre7">
    <w:name w:val="heading 7"/>
    <w:basedOn w:val="Normal"/>
    <w:next w:val="Normal"/>
    <w:link w:val="Titre7Car"/>
    <w:semiHidden/>
    <w:unhideWhenUsed/>
    <w:qFormat/>
    <w:rsid w:val="00F32011"/>
    <w:pPr>
      <w:keepNext/>
      <w:keepLines/>
      <w:numPr>
        <w:ilvl w:val="6"/>
        <w:numId w:val="2"/>
      </w:numPr>
      <w:spacing w:before="200"/>
      <w:outlineLvl w:val="6"/>
    </w:pPr>
    <w:rPr>
      <w:rFonts w:ascii="Times New Roman" w:eastAsia="Times New Roman" w:hAnsi="Times New Roman" w:cs="Times New Roman"/>
      <w:i/>
      <w:iCs/>
      <w:color w:val="404040"/>
      <w:sz w:val="24"/>
      <w:szCs w:val="24"/>
      <w:lang w:eastAsia="fr-FR"/>
    </w:rPr>
  </w:style>
  <w:style w:type="paragraph" w:styleId="Titre8">
    <w:name w:val="heading 8"/>
    <w:basedOn w:val="Normal"/>
    <w:next w:val="Normal"/>
    <w:link w:val="Titre8Car"/>
    <w:uiPriority w:val="9"/>
    <w:semiHidden/>
    <w:unhideWhenUsed/>
    <w:qFormat/>
    <w:rsid w:val="00F32011"/>
    <w:pPr>
      <w:keepNext/>
      <w:keepLines/>
      <w:numPr>
        <w:ilvl w:val="7"/>
        <w:numId w:val="2"/>
      </w:numPr>
      <w:spacing w:before="200"/>
      <w:outlineLvl w:val="7"/>
    </w:pPr>
    <w:rPr>
      <w:rFonts w:asciiTheme="majorHAnsi" w:eastAsiaTheme="majorEastAsia" w:hAnsiTheme="majorHAnsi" w:cstheme="majorBidi"/>
      <w:color w:val="404040" w:themeColor="text1" w:themeTint="BF"/>
      <w:szCs w:val="20"/>
    </w:rPr>
  </w:style>
  <w:style w:type="paragraph" w:styleId="Titre9">
    <w:name w:val="heading 9"/>
    <w:basedOn w:val="Normal"/>
    <w:next w:val="Normal"/>
    <w:link w:val="Titre9Car"/>
    <w:uiPriority w:val="9"/>
    <w:semiHidden/>
    <w:unhideWhenUsed/>
    <w:qFormat/>
    <w:rsid w:val="00F32011"/>
    <w:pPr>
      <w:keepNext/>
      <w:keepLines/>
      <w:numPr>
        <w:ilvl w:val="8"/>
        <w:numId w:val="2"/>
      </w:numPr>
      <w:spacing w:before="200"/>
      <w:outlineLvl w:val="8"/>
    </w:pPr>
    <w:rPr>
      <w:rFonts w:asciiTheme="majorHAnsi" w:eastAsiaTheme="majorEastAsia" w:hAnsiTheme="majorHAnsi" w:cstheme="majorBidi"/>
      <w:i/>
      <w:iCs/>
      <w:color w:val="404040" w:themeColor="text1" w:themeTint="BF"/>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rticle">
    <w:name w:val="Article"/>
    <w:basedOn w:val="Normal"/>
    <w:link w:val="ArticleCar"/>
    <w:uiPriority w:val="1"/>
    <w:semiHidden/>
    <w:rsid w:val="007D494B"/>
    <w:pPr>
      <w:keepLines/>
      <w:numPr>
        <w:numId w:val="1"/>
      </w:numPr>
      <w:ind w:left="1134" w:hanging="1134"/>
    </w:pPr>
    <w:rPr>
      <w:rFonts w:eastAsia="Times New Roman" w:cs="Times New Roman"/>
      <w:color w:val="auto"/>
      <w:szCs w:val="24"/>
      <w:lang w:eastAsia="fr-FR"/>
    </w:rPr>
  </w:style>
  <w:style w:type="character" w:customStyle="1" w:styleId="ArticleCar">
    <w:name w:val="Article Car"/>
    <w:link w:val="Article"/>
    <w:uiPriority w:val="1"/>
    <w:semiHidden/>
    <w:rsid w:val="00A54D25"/>
    <w:rPr>
      <w:rFonts w:eastAsia="Times New Roman" w:cs="Times New Roman"/>
      <w:bCs/>
      <w:sz w:val="20"/>
      <w:szCs w:val="24"/>
      <w:lang w:eastAsia="fr-FR"/>
    </w:rPr>
  </w:style>
  <w:style w:type="paragraph" w:customStyle="1" w:styleId="Titrtableau">
    <w:name w:val="Titr tableau"/>
    <w:basedOn w:val="Sansinterligne"/>
    <w:link w:val="TitrtableauCar"/>
    <w:uiPriority w:val="22"/>
    <w:qFormat/>
    <w:rsid w:val="00CF3CBF"/>
    <w:pPr>
      <w:keepNext/>
      <w:jc w:val="center"/>
    </w:pPr>
    <w:rPr>
      <w:rFonts w:eastAsia="Times New Roman" w:cs="Times New Roman"/>
      <w:color w:val="232253" w:themeColor="text2"/>
      <w:sz w:val="21"/>
      <w:szCs w:val="20"/>
      <w:lang w:eastAsia="fr-FR"/>
    </w:rPr>
  </w:style>
  <w:style w:type="paragraph" w:customStyle="1" w:styleId="Tableau">
    <w:name w:val="Tableau"/>
    <w:basedOn w:val="Titrtableau"/>
    <w:link w:val="TableauCar"/>
    <w:uiPriority w:val="22"/>
    <w:qFormat/>
    <w:rsid w:val="004D719B"/>
    <w:rPr>
      <w:color w:val="000000" w:themeColor="text1"/>
    </w:rPr>
  </w:style>
  <w:style w:type="character" w:customStyle="1" w:styleId="SansinterligneCar">
    <w:name w:val="Sans interligne Car"/>
    <w:basedOn w:val="Policepardfaut"/>
    <w:link w:val="Sansinterligne"/>
    <w:uiPriority w:val="29"/>
    <w:rsid w:val="00DA0517"/>
    <w:rPr>
      <w:color w:val="000000" w:themeColor="text1"/>
      <w:sz w:val="20"/>
    </w:rPr>
  </w:style>
  <w:style w:type="character" w:customStyle="1" w:styleId="TitrtableauCar">
    <w:name w:val="Titr tableau Car"/>
    <w:basedOn w:val="SansinterligneCar"/>
    <w:link w:val="Titrtableau"/>
    <w:uiPriority w:val="22"/>
    <w:rsid w:val="00DA0517"/>
    <w:rPr>
      <w:rFonts w:eastAsia="Times New Roman" w:cs="Times New Roman"/>
      <w:color w:val="232253" w:themeColor="text2"/>
      <w:sz w:val="21"/>
      <w:szCs w:val="20"/>
      <w:lang w:eastAsia="fr-FR"/>
    </w:rPr>
  </w:style>
  <w:style w:type="character" w:customStyle="1" w:styleId="Titre1Car">
    <w:name w:val="Titre 1 Car"/>
    <w:basedOn w:val="Policepardfaut"/>
    <w:link w:val="Titre1"/>
    <w:uiPriority w:val="6"/>
    <w:rsid w:val="00E83D82"/>
    <w:rPr>
      <w:rFonts w:asciiTheme="majorHAnsi" w:eastAsiaTheme="majorEastAsia" w:hAnsiTheme="majorHAnsi" w:cstheme="majorHAnsi"/>
      <w:b/>
      <w:color w:val="232253" w:themeColor="text2"/>
      <w:sz w:val="28"/>
      <w:szCs w:val="26"/>
    </w:rPr>
  </w:style>
  <w:style w:type="character" w:customStyle="1" w:styleId="Titre2Car">
    <w:name w:val="Titre 2 Car"/>
    <w:basedOn w:val="Policepardfaut"/>
    <w:link w:val="Titre2"/>
    <w:uiPriority w:val="6"/>
    <w:rsid w:val="003A675F"/>
    <w:rPr>
      <w:rFonts w:asciiTheme="majorHAnsi" w:eastAsiaTheme="majorEastAsia" w:hAnsiTheme="majorHAnsi" w:cstheme="majorHAnsi"/>
      <w:b/>
      <w:color w:val="E56463" w:themeColor="accent3"/>
      <w:sz w:val="26"/>
      <w:szCs w:val="26"/>
    </w:rPr>
  </w:style>
  <w:style w:type="character" w:customStyle="1" w:styleId="Titre3Car">
    <w:name w:val="Titre 3 Car"/>
    <w:basedOn w:val="Policepardfaut"/>
    <w:link w:val="Titre3"/>
    <w:uiPriority w:val="6"/>
    <w:rsid w:val="00373D6C"/>
    <w:rPr>
      <w:rFonts w:asciiTheme="majorHAnsi" w:eastAsiaTheme="majorEastAsia" w:hAnsiTheme="majorHAnsi" w:cstheme="minorHAnsi"/>
      <w:color w:val="232253" w:themeColor="text2"/>
      <w:sz w:val="24"/>
      <w:szCs w:val="26"/>
    </w:rPr>
  </w:style>
  <w:style w:type="character" w:customStyle="1" w:styleId="Titre4Car">
    <w:name w:val="Titre 4 Car"/>
    <w:basedOn w:val="Policepardfaut"/>
    <w:link w:val="Titre4"/>
    <w:uiPriority w:val="6"/>
    <w:rsid w:val="00A54D25"/>
    <w:rPr>
      <w:rFonts w:eastAsiaTheme="majorEastAsia" w:cstheme="minorHAnsi"/>
      <w:iCs/>
      <w:color w:val="E56463" w:themeColor="accent3"/>
      <w:sz w:val="20"/>
      <w:szCs w:val="18"/>
    </w:rPr>
  </w:style>
  <w:style w:type="character" w:customStyle="1" w:styleId="Titre7Car">
    <w:name w:val="Titre 7 Car"/>
    <w:basedOn w:val="Policepardfaut"/>
    <w:link w:val="Titre7"/>
    <w:semiHidden/>
    <w:rsid w:val="00F32011"/>
    <w:rPr>
      <w:rFonts w:ascii="Times New Roman" w:eastAsia="Times New Roman" w:hAnsi="Times New Roman" w:cs="Times New Roman"/>
      <w:bCs/>
      <w:i/>
      <w:iCs/>
      <w:color w:val="404040"/>
      <w:sz w:val="24"/>
      <w:szCs w:val="24"/>
      <w:lang w:eastAsia="fr-FR"/>
    </w:rPr>
  </w:style>
  <w:style w:type="character" w:customStyle="1" w:styleId="Titre8Car">
    <w:name w:val="Titre 8 Car"/>
    <w:basedOn w:val="Policepardfaut"/>
    <w:link w:val="Titre8"/>
    <w:uiPriority w:val="9"/>
    <w:semiHidden/>
    <w:rsid w:val="00F32011"/>
    <w:rPr>
      <w:rFonts w:asciiTheme="majorHAnsi" w:eastAsiaTheme="majorEastAsia" w:hAnsiTheme="majorHAnsi" w:cstheme="majorBidi"/>
      <w:bCs/>
      <w:color w:val="404040" w:themeColor="text1" w:themeTint="BF"/>
      <w:sz w:val="20"/>
      <w:szCs w:val="20"/>
    </w:rPr>
  </w:style>
  <w:style w:type="character" w:customStyle="1" w:styleId="Titre9Car">
    <w:name w:val="Titre 9 Car"/>
    <w:basedOn w:val="Policepardfaut"/>
    <w:link w:val="Titre9"/>
    <w:uiPriority w:val="9"/>
    <w:semiHidden/>
    <w:rsid w:val="00F32011"/>
    <w:rPr>
      <w:rFonts w:asciiTheme="majorHAnsi" w:eastAsiaTheme="majorEastAsia" w:hAnsiTheme="majorHAnsi" w:cstheme="majorBidi"/>
      <w:bCs/>
      <w:i/>
      <w:iCs/>
      <w:color w:val="404040" w:themeColor="text1" w:themeTint="BF"/>
      <w:sz w:val="20"/>
      <w:szCs w:val="20"/>
    </w:rPr>
  </w:style>
  <w:style w:type="paragraph" w:styleId="Notedebasdepage">
    <w:name w:val="footnote text"/>
    <w:basedOn w:val="Normal"/>
    <w:link w:val="NotedebasdepageCar"/>
    <w:semiHidden/>
    <w:qFormat/>
    <w:rsid w:val="008131FE"/>
    <w:pPr>
      <w:spacing w:before="60" w:after="60"/>
    </w:pPr>
    <w:rPr>
      <w:rFonts w:eastAsia="Times New Roman" w:cs="Times New Roman"/>
      <w:color w:val="auto"/>
      <w:sz w:val="18"/>
      <w:szCs w:val="20"/>
      <w:lang w:eastAsia="fr-FR"/>
    </w:rPr>
  </w:style>
  <w:style w:type="character" w:customStyle="1" w:styleId="NotedebasdepageCar">
    <w:name w:val="Note de bas de page Car"/>
    <w:basedOn w:val="Policepardfaut"/>
    <w:link w:val="Notedebasdepage"/>
    <w:semiHidden/>
    <w:rsid w:val="008131FE"/>
    <w:rPr>
      <w:rFonts w:eastAsia="Times New Roman" w:cs="Times New Roman"/>
      <w:sz w:val="18"/>
      <w:szCs w:val="20"/>
      <w:lang w:eastAsia="fr-FR"/>
    </w:rPr>
  </w:style>
  <w:style w:type="paragraph" w:styleId="Pieddepage">
    <w:name w:val="footer"/>
    <w:link w:val="PieddepageCar"/>
    <w:uiPriority w:val="17"/>
    <w:qFormat/>
    <w:rsid w:val="00A249F5"/>
    <w:pPr>
      <w:tabs>
        <w:tab w:val="right" w:pos="9639"/>
      </w:tabs>
      <w:spacing w:after="0" w:line="240" w:lineRule="auto"/>
    </w:pPr>
    <w:rPr>
      <w:color w:val="000000" w:themeColor="text1"/>
      <w:sz w:val="18"/>
    </w:rPr>
  </w:style>
  <w:style w:type="character" w:customStyle="1" w:styleId="PieddepageCar">
    <w:name w:val="Pied de page Car"/>
    <w:basedOn w:val="Policepardfaut"/>
    <w:link w:val="Pieddepage"/>
    <w:uiPriority w:val="17"/>
    <w:rsid w:val="008160DE"/>
    <w:rPr>
      <w:color w:val="000000" w:themeColor="text1"/>
      <w:sz w:val="18"/>
    </w:rPr>
  </w:style>
  <w:style w:type="paragraph" w:styleId="Lgende">
    <w:name w:val="caption"/>
    <w:basedOn w:val="Normal"/>
    <w:next w:val="Normal"/>
    <w:uiPriority w:val="25"/>
    <w:qFormat/>
    <w:rsid w:val="003338E3"/>
    <w:pPr>
      <w:spacing w:before="60"/>
      <w:jc w:val="center"/>
    </w:pPr>
    <w:rPr>
      <w:bCs w:val="0"/>
    </w:rPr>
  </w:style>
  <w:style w:type="paragraph" w:styleId="Listepuces">
    <w:name w:val="List Bullet"/>
    <w:basedOn w:val="Paragraphedeliste"/>
    <w:uiPriority w:val="11"/>
    <w:qFormat/>
    <w:rsid w:val="007E6BF9"/>
    <w:pPr>
      <w:numPr>
        <w:numId w:val="5"/>
      </w:numPr>
      <w:ind w:left="567" w:hanging="283"/>
    </w:pPr>
    <w:rPr>
      <w:rFonts w:eastAsia="Times New Roman" w:cs="Arial"/>
      <w:color w:val="auto"/>
      <w:lang w:val="fr-FR" w:eastAsia="fr-FR"/>
    </w:rPr>
  </w:style>
  <w:style w:type="paragraph" w:styleId="Paragraphedeliste">
    <w:name w:val="List Paragraph"/>
    <w:basedOn w:val="Normal"/>
    <w:uiPriority w:val="15"/>
    <w:qFormat/>
    <w:rsid w:val="007E6BF9"/>
    <w:pPr>
      <w:numPr>
        <w:numId w:val="6"/>
      </w:numPr>
      <w:spacing w:before="60" w:after="60"/>
    </w:pPr>
    <w:rPr>
      <w:lang w:val="en-US"/>
    </w:rPr>
  </w:style>
  <w:style w:type="paragraph" w:styleId="Listenumros">
    <w:name w:val="List Number"/>
    <w:basedOn w:val="Paragraphedeliste"/>
    <w:uiPriority w:val="13"/>
    <w:qFormat/>
    <w:rsid w:val="007E6BF9"/>
    <w:pPr>
      <w:numPr>
        <w:numId w:val="3"/>
      </w:numPr>
    </w:pPr>
  </w:style>
  <w:style w:type="paragraph" w:styleId="Listepuces2">
    <w:name w:val="List Bullet 2"/>
    <w:basedOn w:val="Paragraphedeliste"/>
    <w:uiPriority w:val="12"/>
    <w:qFormat/>
    <w:rsid w:val="007E6BF9"/>
    <w:pPr>
      <w:numPr>
        <w:numId w:val="7"/>
      </w:numPr>
      <w:ind w:left="851" w:hanging="284"/>
    </w:pPr>
    <w:rPr>
      <w:rFonts w:eastAsia="Times New Roman" w:cs="Arial"/>
      <w:color w:val="auto"/>
      <w:lang w:eastAsia="fr-FR"/>
    </w:rPr>
  </w:style>
  <w:style w:type="paragraph" w:styleId="Listenumros2">
    <w:name w:val="List Number 2"/>
    <w:basedOn w:val="Paragraphedeliste"/>
    <w:uiPriority w:val="14"/>
    <w:unhideWhenUsed/>
    <w:qFormat/>
    <w:rsid w:val="007E6BF9"/>
    <w:pPr>
      <w:numPr>
        <w:ilvl w:val="1"/>
        <w:numId w:val="4"/>
      </w:numPr>
    </w:pPr>
  </w:style>
  <w:style w:type="paragraph" w:styleId="Titre">
    <w:name w:val="Title"/>
    <w:basedOn w:val="Normal"/>
    <w:next w:val="Normal"/>
    <w:link w:val="TitreCar"/>
    <w:uiPriority w:val="4"/>
    <w:qFormat/>
    <w:rsid w:val="005F5154"/>
    <w:pPr>
      <w:spacing w:before="240" w:after="240"/>
      <w:contextualSpacing/>
      <w:jc w:val="center"/>
    </w:pPr>
    <w:rPr>
      <w:rFonts w:asciiTheme="majorHAnsi" w:eastAsiaTheme="majorEastAsia" w:hAnsiTheme="majorHAnsi" w:cstheme="majorHAnsi"/>
      <w:b/>
      <w:kern w:val="28"/>
      <w:sz w:val="28"/>
      <w:szCs w:val="30"/>
    </w:rPr>
  </w:style>
  <w:style w:type="character" w:customStyle="1" w:styleId="TitreCar">
    <w:name w:val="Titre Car"/>
    <w:basedOn w:val="Policepardfaut"/>
    <w:link w:val="Titre"/>
    <w:uiPriority w:val="4"/>
    <w:rsid w:val="005F5154"/>
    <w:rPr>
      <w:rFonts w:asciiTheme="majorHAnsi" w:eastAsiaTheme="majorEastAsia" w:hAnsiTheme="majorHAnsi" w:cstheme="majorHAnsi"/>
      <w:b/>
      <w:color w:val="232253" w:themeColor="text2"/>
      <w:kern w:val="28"/>
      <w:sz w:val="28"/>
      <w:szCs w:val="30"/>
    </w:rPr>
  </w:style>
  <w:style w:type="paragraph" w:styleId="Sansinterligne">
    <w:name w:val="No Spacing"/>
    <w:link w:val="SansinterligneCar"/>
    <w:uiPriority w:val="29"/>
    <w:unhideWhenUsed/>
    <w:qFormat/>
    <w:rsid w:val="00F32011"/>
    <w:pPr>
      <w:spacing w:after="0" w:line="240" w:lineRule="auto"/>
      <w:jc w:val="both"/>
    </w:pPr>
    <w:rPr>
      <w:color w:val="000000" w:themeColor="text1"/>
      <w:sz w:val="20"/>
    </w:rPr>
  </w:style>
  <w:style w:type="paragraph" w:styleId="Citation">
    <w:name w:val="Quote"/>
    <w:basedOn w:val="Normal"/>
    <w:next w:val="Normal"/>
    <w:link w:val="CitationCar"/>
    <w:uiPriority w:val="29"/>
    <w:qFormat/>
    <w:rsid w:val="003E7DDC"/>
    <w:pPr>
      <w:ind w:left="284"/>
    </w:pPr>
    <w:rPr>
      <w:i/>
      <w:iCs/>
    </w:rPr>
  </w:style>
  <w:style w:type="character" w:customStyle="1" w:styleId="CitationCar">
    <w:name w:val="Citation Car"/>
    <w:basedOn w:val="Policepardfaut"/>
    <w:link w:val="Citation"/>
    <w:uiPriority w:val="29"/>
    <w:rsid w:val="003E7DDC"/>
    <w:rPr>
      <w:i/>
      <w:iCs/>
      <w:color w:val="000000"/>
      <w:szCs w:val="21"/>
    </w:rPr>
  </w:style>
  <w:style w:type="character" w:customStyle="1" w:styleId="Titre5Car">
    <w:name w:val="Titre 5 Car"/>
    <w:basedOn w:val="Policepardfaut"/>
    <w:link w:val="Titre5"/>
    <w:uiPriority w:val="6"/>
    <w:rsid w:val="008160DE"/>
    <w:rPr>
      <w:rFonts w:eastAsia="Times New Roman" w:cs="Times New Roman"/>
      <w:b/>
      <w:szCs w:val="24"/>
      <w:lang w:eastAsia="fr-FR"/>
    </w:rPr>
  </w:style>
  <w:style w:type="character" w:customStyle="1" w:styleId="Titre6Car">
    <w:name w:val="Titre 6 Car"/>
    <w:basedOn w:val="Policepardfaut"/>
    <w:link w:val="Titre6"/>
    <w:uiPriority w:val="6"/>
    <w:semiHidden/>
    <w:rsid w:val="00E83D82"/>
    <w:rPr>
      <w:rFonts w:eastAsia="Times New Roman" w:cs="Times New Roman"/>
      <w:i/>
      <w:iCs/>
      <w:color w:val="275277"/>
      <w:szCs w:val="24"/>
      <w:lang w:eastAsia="fr-FR"/>
    </w:rPr>
  </w:style>
  <w:style w:type="paragraph" w:styleId="En-tte">
    <w:name w:val="header"/>
    <w:link w:val="En-tteCar"/>
    <w:uiPriority w:val="99"/>
    <w:unhideWhenUsed/>
    <w:rsid w:val="00027AFD"/>
    <w:pPr>
      <w:tabs>
        <w:tab w:val="center" w:pos="4513"/>
        <w:tab w:val="right" w:pos="9026"/>
      </w:tabs>
      <w:spacing w:after="0" w:line="240" w:lineRule="auto"/>
      <w:jc w:val="right"/>
    </w:pPr>
    <w:rPr>
      <w:caps/>
      <w:color w:val="000000" w:themeColor="text1"/>
      <w:sz w:val="18"/>
    </w:rPr>
  </w:style>
  <w:style w:type="character" w:customStyle="1" w:styleId="En-tteCar">
    <w:name w:val="En-tête Car"/>
    <w:basedOn w:val="Policepardfaut"/>
    <w:link w:val="En-tte"/>
    <w:uiPriority w:val="99"/>
    <w:rsid w:val="00027AFD"/>
    <w:rPr>
      <w:caps/>
      <w:color w:val="000000" w:themeColor="text1"/>
      <w:sz w:val="18"/>
    </w:rPr>
  </w:style>
  <w:style w:type="character" w:styleId="Appelnotedebasdep">
    <w:name w:val="footnote reference"/>
    <w:basedOn w:val="Policepardfaut"/>
    <w:uiPriority w:val="28"/>
    <w:rsid w:val="00027AFD"/>
    <w:rPr>
      <w:vertAlign w:val="superscript"/>
    </w:rPr>
  </w:style>
  <w:style w:type="table" w:styleId="Colonnesdetableau4">
    <w:name w:val="Table Columns 4"/>
    <w:aliases w:val="Tableau Arcep sans grille"/>
    <w:basedOn w:val="TableauNormal"/>
    <w:rsid w:val="00583195"/>
    <w:pPr>
      <w:spacing w:after="0" w:line="240" w:lineRule="auto"/>
      <w:contextualSpacing/>
      <w:jc w:val="center"/>
    </w:pPr>
    <w:rPr>
      <w:rFonts w:eastAsia="Times New Roman" w:cs="Times New Roman"/>
      <w:color w:val="000000" w:themeColor="text1"/>
      <w:szCs w:val="20"/>
      <w:lang w:eastAsia="fr-FR"/>
    </w:rPr>
    <w:tblPr>
      <w:tblStyleColBandSize w:val="1"/>
      <w:jc w:val="center"/>
      <w:tblBorders>
        <w:insideH w:val="single" w:sz="8" w:space="0" w:color="232253" w:themeColor="text2"/>
      </w:tblBorders>
    </w:tblPr>
    <w:trPr>
      <w:jc w:val="center"/>
    </w:trPr>
    <w:tcPr>
      <w:vAlign w:val="center"/>
    </w:tcPr>
    <w:tblStylePr w:type="firstRow">
      <w:pPr>
        <w:jc w:val="center"/>
      </w:pPr>
      <w:rPr>
        <w:rFonts w:asciiTheme="minorHAnsi" w:hAnsiTheme="minorHAnsi"/>
        <w:b/>
        <w:color w:val="FFFFFF"/>
      </w:rPr>
      <w:tblPr/>
      <w:tcPr>
        <w:tcBorders>
          <w:bottom w:val="single" w:sz="18" w:space="0" w:color="232253" w:themeColor="text2"/>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paragraph" w:styleId="Signature">
    <w:name w:val="Signature"/>
    <w:aliases w:val="Nom signataire"/>
    <w:basedOn w:val="Normal"/>
    <w:next w:val="Normal"/>
    <w:link w:val="SignatureCar"/>
    <w:uiPriority w:val="5"/>
    <w:semiHidden/>
    <w:rsid w:val="0064069D"/>
    <w:pPr>
      <w:spacing w:before="840"/>
      <w:ind w:left="5670"/>
    </w:pPr>
  </w:style>
  <w:style w:type="character" w:customStyle="1" w:styleId="SignatureCar">
    <w:name w:val="Signature Car"/>
    <w:aliases w:val="Nom signataire Car"/>
    <w:basedOn w:val="Policepardfaut"/>
    <w:link w:val="Signature"/>
    <w:uiPriority w:val="5"/>
    <w:semiHidden/>
    <w:rsid w:val="00A54D25"/>
    <w:rPr>
      <w:color w:val="000000"/>
      <w:szCs w:val="21"/>
    </w:rPr>
  </w:style>
  <w:style w:type="paragraph" w:styleId="Textedebulles">
    <w:name w:val="Balloon Text"/>
    <w:basedOn w:val="Normal"/>
    <w:link w:val="TextedebullesCar"/>
    <w:uiPriority w:val="99"/>
    <w:semiHidden/>
    <w:unhideWhenUsed/>
    <w:rsid w:val="00417039"/>
    <w:rPr>
      <w:rFonts w:ascii="Tahoma" w:hAnsi="Tahoma" w:cs="Tahoma"/>
      <w:sz w:val="16"/>
      <w:szCs w:val="16"/>
    </w:rPr>
  </w:style>
  <w:style w:type="character" w:customStyle="1" w:styleId="TextedebullesCar">
    <w:name w:val="Texte de bulles Car"/>
    <w:basedOn w:val="Policepardfaut"/>
    <w:link w:val="Textedebulles"/>
    <w:uiPriority w:val="99"/>
    <w:semiHidden/>
    <w:rsid w:val="00417039"/>
    <w:rPr>
      <w:rFonts w:ascii="Tahoma" w:hAnsi="Tahoma" w:cs="Tahoma"/>
      <w:color w:val="000000" w:themeColor="text1"/>
      <w:sz w:val="16"/>
      <w:szCs w:val="16"/>
    </w:rPr>
  </w:style>
  <w:style w:type="table" w:styleId="Grilledutableau">
    <w:name w:val="Table Grid"/>
    <w:basedOn w:val="TableauNormal"/>
    <w:uiPriority w:val="59"/>
    <w:rsid w:val="000B4E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auCar">
    <w:name w:val="Tableau Car"/>
    <w:basedOn w:val="TitrtableauCar"/>
    <w:link w:val="Tableau"/>
    <w:uiPriority w:val="22"/>
    <w:rsid w:val="00DA0517"/>
    <w:rPr>
      <w:rFonts w:eastAsia="Times New Roman" w:cs="Times New Roman"/>
      <w:color w:val="000000" w:themeColor="text1"/>
      <w:sz w:val="21"/>
      <w:szCs w:val="20"/>
      <w:lang w:eastAsia="fr-FR"/>
    </w:rPr>
  </w:style>
  <w:style w:type="paragraph" w:customStyle="1" w:styleId="Image">
    <w:name w:val="Image"/>
    <w:basedOn w:val="Normal"/>
    <w:next w:val="Lgende"/>
    <w:link w:val="ImageCar"/>
    <w:uiPriority w:val="24"/>
    <w:qFormat/>
    <w:rsid w:val="004D719B"/>
    <w:pPr>
      <w:keepNext/>
      <w:jc w:val="center"/>
    </w:pPr>
    <w:rPr>
      <w:noProof/>
      <w:lang w:eastAsia="fr-FR"/>
    </w:rPr>
  </w:style>
  <w:style w:type="paragraph" w:customStyle="1" w:styleId="Encadr">
    <w:name w:val="Encadré"/>
    <w:basedOn w:val="Normal"/>
    <w:link w:val="EncadrCar"/>
    <w:uiPriority w:val="19"/>
    <w:qFormat/>
    <w:rsid w:val="004D719B"/>
    <w:pPr>
      <w:pBdr>
        <w:top w:val="single" w:sz="6" w:space="1" w:color="232253" w:themeColor="text2"/>
        <w:left w:val="single" w:sz="6" w:space="4" w:color="232253" w:themeColor="text2"/>
        <w:bottom w:val="single" w:sz="6" w:space="1" w:color="232253" w:themeColor="text2"/>
        <w:right w:val="single" w:sz="6" w:space="4" w:color="232253" w:themeColor="text2"/>
      </w:pBdr>
      <w:shd w:val="clear" w:color="auto" w:fill="F4F2EF" w:themeFill="background2" w:themeFillTint="33"/>
    </w:pPr>
  </w:style>
  <w:style w:type="character" w:customStyle="1" w:styleId="ImageCar">
    <w:name w:val="Image Car"/>
    <w:basedOn w:val="Policepardfaut"/>
    <w:link w:val="Image"/>
    <w:uiPriority w:val="24"/>
    <w:rsid w:val="00E83D82"/>
    <w:rPr>
      <w:noProof/>
      <w:color w:val="000000"/>
      <w:szCs w:val="21"/>
      <w:lang w:eastAsia="fr-FR"/>
    </w:rPr>
  </w:style>
  <w:style w:type="character" w:customStyle="1" w:styleId="EncadrCar">
    <w:name w:val="Encadré Car"/>
    <w:basedOn w:val="Policepardfaut"/>
    <w:link w:val="Encadr"/>
    <w:uiPriority w:val="19"/>
    <w:rsid w:val="00E83D82"/>
    <w:rPr>
      <w:color w:val="000000"/>
      <w:szCs w:val="21"/>
      <w:shd w:val="clear" w:color="auto" w:fill="F4F2EF" w:themeFill="background2" w:themeFillTint="33"/>
    </w:rPr>
  </w:style>
  <w:style w:type="paragraph" w:customStyle="1" w:styleId="Paravliste">
    <w:name w:val="Par. av liste"/>
    <w:basedOn w:val="Normal"/>
    <w:next w:val="Listepuces"/>
    <w:link w:val="ParavlisteCar"/>
    <w:uiPriority w:val="10"/>
    <w:qFormat/>
    <w:rsid w:val="00941B2B"/>
    <w:pPr>
      <w:keepNext/>
    </w:pPr>
  </w:style>
  <w:style w:type="paragraph" w:customStyle="1" w:styleId="Dcide">
    <w:name w:val="Décide"/>
    <w:basedOn w:val="Normal"/>
    <w:link w:val="DcideCar"/>
    <w:uiPriority w:val="2"/>
    <w:semiHidden/>
    <w:rsid w:val="00441B27"/>
    <w:pPr>
      <w:keepNext/>
      <w:spacing w:before="360" w:after="240"/>
    </w:pPr>
    <w:rPr>
      <w:b/>
    </w:rPr>
  </w:style>
  <w:style w:type="character" w:customStyle="1" w:styleId="ParavlisteCar">
    <w:name w:val="Par. av liste Car"/>
    <w:basedOn w:val="Policepardfaut"/>
    <w:link w:val="Paravliste"/>
    <w:uiPriority w:val="10"/>
    <w:rsid w:val="00E83D82"/>
    <w:rPr>
      <w:color w:val="000000"/>
      <w:szCs w:val="21"/>
    </w:rPr>
  </w:style>
  <w:style w:type="paragraph" w:customStyle="1" w:styleId="Fonctionsignataire">
    <w:name w:val="Fonction signataire"/>
    <w:basedOn w:val="Signature"/>
    <w:next w:val="Signature"/>
    <w:link w:val="FonctionsignataireCar"/>
    <w:uiPriority w:val="4"/>
    <w:semiHidden/>
    <w:rsid w:val="00441B27"/>
    <w:pPr>
      <w:keepNext/>
      <w:spacing w:before="120" w:after="840"/>
    </w:pPr>
  </w:style>
  <w:style w:type="character" w:customStyle="1" w:styleId="DcideCar">
    <w:name w:val="Décide Car"/>
    <w:basedOn w:val="Policepardfaut"/>
    <w:link w:val="Dcide"/>
    <w:uiPriority w:val="2"/>
    <w:semiHidden/>
    <w:rsid w:val="00A54D25"/>
    <w:rPr>
      <w:b/>
      <w:color w:val="000000"/>
      <w:szCs w:val="21"/>
    </w:rPr>
  </w:style>
  <w:style w:type="paragraph" w:customStyle="1" w:styleId="Lieuetdate">
    <w:name w:val="Lieu et date"/>
    <w:basedOn w:val="Normal"/>
    <w:next w:val="Fonctionsignataire"/>
    <w:link w:val="LieuetdateCar"/>
    <w:uiPriority w:val="3"/>
    <w:semiHidden/>
    <w:rsid w:val="008131FE"/>
    <w:pPr>
      <w:keepNext/>
      <w:spacing w:before="360"/>
    </w:pPr>
  </w:style>
  <w:style w:type="character" w:customStyle="1" w:styleId="FonctionsignataireCar">
    <w:name w:val="Fonction signataire Car"/>
    <w:basedOn w:val="SignatureCar"/>
    <w:link w:val="Fonctionsignataire"/>
    <w:uiPriority w:val="4"/>
    <w:semiHidden/>
    <w:rsid w:val="00A54D25"/>
    <w:rPr>
      <w:color w:val="000000"/>
      <w:szCs w:val="21"/>
    </w:rPr>
  </w:style>
  <w:style w:type="character" w:customStyle="1" w:styleId="LieuetdateCar">
    <w:name w:val="Lieu et date Car"/>
    <w:basedOn w:val="Policepardfaut"/>
    <w:link w:val="Lieuetdate"/>
    <w:uiPriority w:val="3"/>
    <w:semiHidden/>
    <w:rsid w:val="00A54D25"/>
    <w:rPr>
      <w:color w:val="000000"/>
      <w:szCs w:val="21"/>
    </w:rPr>
  </w:style>
  <w:style w:type="table" w:styleId="Ombrageclair">
    <w:name w:val="Light Shading"/>
    <w:basedOn w:val="TableauNormal"/>
    <w:uiPriority w:val="60"/>
    <w:rsid w:val="00BE0C2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Tabledesillustrations">
    <w:name w:val="table of figures"/>
    <w:basedOn w:val="Normal"/>
    <w:next w:val="Normal"/>
    <w:uiPriority w:val="99"/>
    <w:unhideWhenUsed/>
    <w:rsid w:val="001E296D"/>
  </w:style>
  <w:style w:type="character" w:styleId="Lienhypertexte">
    <w:name w:val="Hyperlink"/>
    <w:basedOn w:val="Policepardfaut"/>
    <w:uiPriority w:val="99"/>
    <w:unhideWhenUsed/>
    <w:rsid w:val="003E7DDC"/>
    <w:rPr>
      <w:color w:val="084E8E" w:themeColor="accent1"/>
      <w:u w:val="single"/>
    </w:rPr>
  </w:style>
  <w:style w:type="character" w:styleId="Accentuation">
    <w:name w:val="Emphasis"/>
    <w:basedOn w:val="Policepardfaut"/>
    <w:uiPriority w:val="27"/>
    <w:qFormat/>
    <w:rsid w:val="003E7DDC"/>
    <w:rPr>
      <w:b/>
      <w:i w:val="0"/>
      <w:iCs/>
    </w:rPr>
  </w:style>
  <w:style w:type="paragraph" w:customStyle="1" w:styleId="Dlibr">
    <w:name w:val="Délibéré"/>
    <w:basedOn w:val="Normal"/>
    <w:link w:val="DlibrCar"/>
    <w:semiHidden/>
    <w:rsid w:val="00830277"/>
    <w:pPr>
      <w:spacing w:before="360"/>
    </w:pPr>
  </w:style>
  <w:style w:type="character" w:customStyle="1" w:styleId="DlibrCar">
    <w:name w:val="Délibéré Car"/>
    <w:basedOn w:val="Policepardfaut"/>
    <w:link w:val="Dlibr"/>
    <w:semiHidden/>
    <w:rsid w:val="00A54D25"/>
    <w:rPr>
      <w:color w:val="000000"/>
      <w:szCs w:val="21"/>
    </w:rPr>
  </w:style>
  <w:style w:type="paragraph" w:styleId="Sous-titre">
    <w:name w:val="Subtitle"/>
    <w:basedOn w:val="Normal"/>
    <w:next w:val="Normal"/>
    <w:link w:val="Sous-titreCar"/>
    <w:uiPriority w:val="5"/>
    <w:qFormat/>
    <w:rsid w:val="005F5154"/>
    <w:pPr>
      <w:numPr>
        <w:ilvl w:val="1"/>
      </w:numPr>
      <w:spacing w:before="240" w:after="840"/>
      <w:jc w:val="center"/>
    </w:pPr>
    <w:rPr>
      <w:rFonts w:asciiTheme="majorHAnsi" w:eastAsiaTheme="majorEastAsia" w:hAnsiTheme="majorHAnsi" w:cstheme="majorBidi"/>
      <w:b/>
      <w:iCs/>
      <w:color w:val="E56463" w:themeColor="accent3"/>
      <w:spacing w:val="15"/>
      <w:sz w:val="24"/>
      <w:szCs w:val="24"/>
    </w:rPr>
  </w:style>
  <w:style w:type="character" w:customStyle="1" w:styleId="Sous-titreCar">
    <w:name w:val="Sous-titre Car"/>
    <w:basedOn w:val="Policepardfaut"/>
    <w:link w:val="Sous-titre"/>
    <w:uiPriority w:val="5"/>
    <w:rsid w:val="005F5154"/>
    <w:rPr>
      <w:rFonts w:asciiTheme="majorHAnsi" w:eastAsiaTheme="majorEastAsia" w:hAnsiTheme="majorHAnsi" w:cstheme="majorBidi"/>
      <w:b/>
      <w:iCs/>
      <w:color w:val="E56463" w:themeColor="accent3"/>
      <w:spacing w:val="15"/>
      <w:sz w:val="24"/>
      <w:szCs w:val="24"/>
    </w:rPr>
  </w:style>
  <w:style w:type="table" w:customStyle="1" w:styleId="TableauArcep2">
    <w:name w:val="Tableau Arcep 2"/>
    <w:basedOn w:val="Colonnesdetableau4"/>
    <w:uiPriority w:val="99"/>
    <w:rsid w:val="00583195"/>
    <w:tblPr>
      <w:tblBorders>
        <w:top w:val="single" w:sz="4" w:space="0" w:color="232253" w:themeColor="text2"/>
        <w:left w:val="single" w:sz="4" w:space="0" w:color="232253" w:themeColor="text2"/>
        <w:bottom w:val="single" w:sz="4" w:space="0" w:color="232253" w:themeColor="text2"/>
        <w:right w:val="single" w:sz="4" w:space="0" w:color="232253" w:themeColor="text2"/>
        <w:insideH w:val="single" w:sz="4" w:space="0" w:color="232253" w:themeColor="text2"/>
        <w:insideV w:val="single" w:sz="4" w:space="0" w:color="232253" w:themeColor="text2"/>
      </w:tblBorders>
    </w:tblPr>
    <w:trPr>
      <w:cantSplit/>
    </w:trPr>
    <w:tcPr>
      <w:shd w:val="clear" w:color="auto" w:fill="auto"/>
    </w:tcPr>
    <w:tblStylePr w:type="firstRow">
      <w:pPr>
        <w:jc w:val="left"/>
      </w:pPr>
      <w:rPr>
        <w:rFonts w:asciiTheme="minorHAnsi" w:hAnsiTheme="minorHAnsi"/>
        <w:b/>
        <w:color w:val="auto"/>
        <w:sz w:val="22"/>
      </w:rPr>
      <w:tblPr/>
      <w:tcPr>
        <w:tcBorders>
          <w:bottom w:val="single" w:sz="12" w:space="0" w:color="232253" w:themeColor="text2"/>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character" w:styleId="Marquedecommentaire">
    <w:name w:val="annotation reference"/>
    <w:basedOn w:val="Policepardfaut"/>
    <w:uiPriority w:val="99"/>
    <w:semiHidden/>
    <w:unhideWhenUsed/>
    <w:rsid w:val="00AD4C35"/>
    <w:rPr>
      <w:sz w:val="16"/>
      <w:szCs w:val="16"/>
    </w:rPr>
  </w:style>
  <w:style w:type="paragraph" w:styleId="Commentaire">
    <w:name w:val="annotation text"/>
    <w:basedOn w:val="Normal"/>
    <w:link w:val="CommentaireCar"/>
    <w:uiPriority w:val="99"/>
    <w:semiHidden/>
    <w:unhideWhenUsed/>
    <w:rsid w:val="00AD4C35"/>
    <w:rPr>
      <w:szCs w:val="20"/>
    </w:rPr>
  </w:style>
  <w:style w:type="character" w:customStyle="1" w:styleId="CommentaireCar">
    <w:name w:val="Commentaire Car"/>
    <w:basedOn w:val="Policepardfaut"/>
    <w:link w:val="Commentaire"/>
    <w:uiPriority w:val="99"/>
    <w:semiHidden/>
    <w:rsid w:val="00AD4C35"/>
    <w:rPr>
      <w:rFonts w:cstheme="minorHAnsi"/>
      <w:bCs/>
      <w:color w:val="232253" w:themeColor="text2"/>
      <w:sz w:val="20"/>
      <w:szCs w:val="20"/>
    </w:rPr>
  </w:style>
  <w:style w:type="paragraph" w:styleId="Objetducommentaire">
    <w:name w:val="annotation subject"/>
    <w:basedOn w:val="Commentaire"/>
    <w:next w:val="Commentaire"/>
    <w:link w:val="ObjetducommentaireCar"/>
    <w:uiPriority w:val="99"/>
    <w:semiHidden/>
    <w:unhideWhenUsed/>
    <w:rsid w:val="00AD4C35"/>
    <w:rPr>
      <w:b/>
    </w:rPr>
  </w:style>
  <w:style w:type="character" w:customStyle="1" w:styleId="ObjetducommentaireCar">
    <w:name w:val="Objet du commentaire Car"/>
    <w:basedOn w:val="CommentaireCar"/>
    <w:link w:val="Objetducommentaire"/>
    <w:uiPriority w:val="99"/>
    <w:semiHidden/>
    <w:rsid w:val="00AD4C35"/>
    <w:rPr>
      <w:rFonts w:cstheme="minorHAnsi"/>
      <w:b/>
      <w:bCs/>
      <w:color w:val="232253" w:themeColor="text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S:\ARCEP\Charte%20graphique%20au%201er%20avril\2-Word\Arcep_Modele_Note.dotx" TargetMode="External"/></Relationships>
</file>

<file path=word/theme/theme1.xml><?xml version="1.0" encoding="utf-8"?>
<a:theme xmlns:a="http://schemas.openxmlformats.org/drawingml/2006/main" name="ARCEP 2016">
  <a:themeElements>
    <a:clrScheme name="Arcep pivote 5">
      <a:dk1>
        <a:srgbClr val="000000"/>
      </a:dk1>
      <a:lt1>
        <a:sysClr val="window" lastClr="FFFFFF"/>
      </a:lt1>
      <a:dk2>
        <a:srgbClr val="232253"/>
      </a:dk2>
      <a:lt2>
        <a:srgbClr val="C9C0B1"/>
      </a:lt2>
      <a:accent1>
        <a:srgbClr val="084E8E"/>
      </a:accent1>
      <a:accent2>
        <a:srgbClr val="CDE5F6"/>
      </a:accent2>
      <a:accent3>
        <a:srgbClr val="E56463"/>
      </a:accent3>
      <a:accent4>
        <a:srgbClr val="6560A8"/>
      </a:accent4>
      <a:accent5>
        <a:srgbClr val="67B4CE"/>
      </a:accent5>
      <a:accent6>
        <a:srgbClr val="F07374"/>
      </a:accent6>
      <a:hlink>
        <a:srgbClr val="5AC5CD"/>
      </a:hlink>
      <a:folHlink>
        <a:srgbClr val="E67FA3"/>
      </a:folHlink>
    </a:clrScheme>
    <a:fontScheme name="ARCEP presentation">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file>

<file path=customXml/itemProps1.xml><?xml version="1.0" encoding="utf-8"?>
<ds:datastoreItem xmlns:ds="http://schemas.openxmlformats.org/officeDocument/2006/customXml" ds:itemID="{93F73381-360B-47C0-82F8-B66CE9D4E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Arcep_Modele_Note.dotx</Template>
  <TotalTime>188</TotalTime>
  <Pages>1</Pages>
  <Words>7398</Words>
  <Characters>40691</Characters>
  <Application>Microsoft Office Word</Application>
  <DocSecurity>0</DocSecurity>
  <Lines>339</Lines>
  <Paragraphs>95</Paragraphs>
  <ScaleCrop>false</ScaleCrop>
  <HeadingPairs>
    <vt:vector size="2" baseType="variant">
      <vt:variant>
        <vt:lpstr>Titre</vt:lpstr>
      </vt:variant>
      <vt:variant>
        <vt:i4>1</vt:i4>
      </vt:variant>
    </vt:vector>
  </HeadingPairs>
  <TitlesOfParts>
    <vt:vector size="1" baseType="lpstr">
      <vt:lpstr/>
    </vt:vector>
  </TitlesOfParts>
  <Company>ARCEP</Company>
  <LinksUpToDate>false</LinksUpToDate>
  <CharactersWithSpaces>47994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Anouk Arzur</dc:creator>
  <cp:lastModifiedBy>GMR</cp:lastModifiedBy>
  <cp:revision>7</cp:revision>
  <cp:lastPrinted>2016-03-24T17:27:00Z</cp:lastPrinted>
  <dcterms:created xsi:type="dcterms:W3CDTF">2017-02-06T07:46:00Z</dcterms:created>
  <dcterms:modified xsi:type="dcterms:W3CDTF">2017-02-07T14:51:00Z</dcterms:modified>
</cp:coreProperties>
</file>